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C20F" w14:textId="77777777" w:rsidR="000F69FB" w:rsidRPr="000E67F0" w:rsidRDefault="000F69FB"/>
    <w:p w14:paraId="4F3A966F" w14:textId="64CBA73D" w:rsidR="009B6F95" w:rsidRPr="000E67F0" w:rsidRDefault="008D0B5A" w:rsidP="009B1ED4">
      <w:pPr>
        <w:pStyle w:val="Title1"/>
        <w:ind w:left="0" w:firstLine="0"/>
      </w:pPr>
      <w:bookmarkStart w:id="0" w:name="Title"/>
      <w:bookmarkEnd w:id="0"/>
      <w:r w:rsidRPr="000E67F0">
        <w:rPr>
          <w:rFonts w:cs="Arial"/>
          <w:lang w:val="en"/>
        </w:rPr>
        <w:t xml:space="preserve">Housing </w:t>
      </w:r>
      <w:r w:rsidR="009B1ED4" w:rsidRPr="000E67F0">
        <w:rPr>
          <w:rFonts w:cs="Arial"/>
          <w:lang w:val="en"/>
        </w:rPr>
        <w:t xml:space="preserve">Update Paper </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5AA0A2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7533362" w14:textId="77777777" w:rsidR="00795C95" w:rsidRDefault="009B1ED4" w:rsidP="00B84F31">
          <w:pPr>
            <w:ind w:left="0" w:firstLine="0"/>
            <w:rPr>
              <w:rStyle w:val="Title3Char"/>
            </w:rPr>
          </w:pPr>
          <w:r>
            <w:rPr>
              <w:rStyle w:val="Title3Char"/>
            </w:rPr>
            <w:t>For information.</w:t>
          </w:r>
        </w:p>
      </w:sdtContent>
    </w:sdt>
    <w:p w14:paraId="0DE71491"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750CA99B" w14:textId="77777777" w:rsidR="009B6F95" w:rsidRPr="00A627DD" w:rsidRDefault="009B6F95" w:rsidP="00B84F31">
          <w:pPr>
            <w:ind w:left="0" w:firstLine="0"/>
          </w:pPr>
          <w:r w:rsidRPr="00C803F3">
            <w:rPr>
              <w:rStyle w:val="Style6"/>
            </w:rPr>
            <w:t>Summary</w:t>
          </w:r>
        </w:p>
      </w:sdtContent>
    </w:sdt>
    <w:p w14:paraId="01D3A296" w14:textId="573A6831" w:rsidR="009B6F95" w:rsidRDefault="009B1ED4" w:rsidP="0037289B">
      <w:pPr>
        <w:pStyle w:val="Title3"/>
        <w:ind w:left="0" w:firstLine="0"/>
      </w:pPr>
      <w:r>
        <w:t>An update of the</w:t>
      </w:r>
      <w:r w:rsidR="00065EE6">
        <w:t xml:space="preserve"> </w:t>
      </w:r>
      <w:r>
        <w:t xml:space="preserve">policy </w:t>
      </w:r>
      <w:r w:rsidR="00065EE6">
        <w:t xml:space="preserve">and improvement </w:t>
      </w:r>
      <w:r>
        <w:t>work that has</w:t>
      </w:r>
      <w:r w:rsidR="00233AA5">
        <w:t xml:space="preserve"> </w:t>
      </w:r>
      <w:r>
        <w:t xml:space="preserve">been carried </w:t>
      </w:r>
      <w:r w:rsidR="00065EE6">
        <w:t xml:space="preserve">out </w:t>
      </w:r>
      <w:r>
        <w:t xml:space="preserve">for the </w:t>
      </w:r>
      <w:r w:rsidRPr="009B1ED4">
        <w:t>Environment, Economy, Housing &amp; Transport Board</w:t>
      </w:r>
      <w:r w:rsidR="00065EE6">
        <w:t xml:space="preserve"> covering housing, planning, homelessness and building safety</w:t>
      </w:r>
      <w:r w:rsidR="009940CA">
        <w:t xml:space="preserve"> since the last Board</w:t>
      </w:r>
      <w:r>
        <w:t>.</w:t>
      </w:r>
    </w:p>
    <w:p w14:paraId="2F1110F6" w14:textId="76BC07CC" w:rsidR="009B6F95" w:rsidRDefault="00BF15EE"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134085F" wp14:editId="158792D0">
                <wp:simplePos x="0" y="0"/>
                <wp:positionH relativeFrom="margin">
                  <wp:align>right</wp:align>
                </wp:positionH>
                <wp:positionV relativeFrom="paragraph">
                  <wp:posOffset>8891</wp:posOffset>
                </wp:positionV>
                <wp:extent cx="5705475" cy="1676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50AC0" w14:textId="77777777" w:rsidR="009940CA" w:rsidRDefault="009940CA"/>
                          <w:sdt>
                            <w:sdtPr>
                              <w:rPr>
                                <w:rStyle w:val="Style6"/>
                              </w:rPr>
                              <w:alias w:val="Recommendations"/>
                              <w:tag w:val="Recommendations"/>
                              <w:id w:val="-1634171231"/>
                              <w:placeholder>
                                <w:docPart w:val="6A9E8857DB8647FABF64567742B78AD3"/>
                              </w:placeholder>
                            </w:sdtPr>
                            <w:sdtEndPr>
                              <w:rPr>
                                <w:rStyle w:val="Style6"/>
                              </w:rPr>
                            </w:sdtEndPr>
                            <w:sdtContent>
                              <w:p w14:paraId="60FA4B8E" w14:textId="77777777" w:rsidR="009940CA" w:rsidRPr="00A627DD" w:rsidRDefault="009940CA" w:rsidP="00B84F31">
                                <w:pPr>
                                  <w:ind w:left="0" w:firstLine="0"/>
                                </w:pPr>
                                <w:r>
                                  <w:rPr>
                                    <w:rStyle w:val="Style6"/>
                                  </w:rPr>
                                  <w:t>Recommendation</w:t>
                                </w:r>
                              </w:p>
                            </w:sdtContent>
                          </w:sdt>
                          <w:p w14:paraId="7D315E53" w14:textId="26E266F6" w:rsidR="009940CA" w:rsidRPr="009B1ED4" w:rsidRDefault="009940CA" w:rsidP="00B84F31">
                            <w:pPr>
                              <w:ind w:left="0" w:firstLine="0"/>
                              <w:rPr>
                                <w:rStyle w:val="Style6"/>
                                <w:b w:val="0"/>
                              </w:rPr>
                            </w:pPr>
                            <w:r w:rsidRPr="009B1ED4">
                              <w:rPr>
                                <w:rStyle w:val="Style6"/>
                                <w:b w:val="0"/>
                              </w:rPr>
                              <w:t xml:space="preserve">That </w:t>
                            </w:r>
                            <w:r w:rsidR="009B67D5" w:rsidRPr="009B1ED4">
                              <w:t>Environment, Economy, Housing &amp; Transport Board</w:t>
                            </w:r>
                            <w:r w:rsidR="009B67D5">
                              <w:t xml:space="preserve"> </w:t>
                            </w:r>
                            <w:r w:rsidRPr="009B1ED4">
                              <w:rPr>
                                <w:rStyle w:val="Style6"/>
                                <w:b w:val="0"/>
                              </w:rPr>
                              <w:t>members note the contents of the report.</w:t>
                            </w:r>
                          </w:p>
                          <w:p w14:paraId="69FC8AE3" w14:textId="77777777" w:rsidR="009940CA" w:rsidRPr="00A627DD" w:rsidRDefault="009B67D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940CA">
                                  <w:rPr>
                                    <w:rStyle w:val="Style6"/>
                                  </w:rPr>
                                  <w:t>Action</w:t>
                                </w:r>
                              </w:sdtContent>
                            </w:sdt>
                          </w:p>
                          <w:p w14:paraId="186926AB" w14:textId="77777777" w:rsidR="009940CA" w:rsidRPr="00B84F31" w:rsidRDefault="009940CA" w:rsidP="00B84F31">
                            <w:pPr>
                              <w:pStyle w:val="Title3"/>
                              <w:ind w:left="0" w:firstLine="0"/>
                            </w:pPr>
                            <w:r>
                              <w:t>Officers to take forward any member comments for future policy work.</w:t>
                            </w:r>
                          </w:p>
                          <w:p w14:paraId="14FD3FCC" w14:textId="77777777" w:rsidR="009940CA" w:rsidRDefault="009940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4085F" id="_x0000_t202" coordsize="21600,21600" o:spt="202" path="m,l,21600r21600,l21600,xe">
                <v:stroke joinstyle="miter"/>
                <v:path gradientshapeok="t" o:connecttype="rect"/>
              </v:shapetype>
              <v:shape id="Text Box 1" o:spid="_x0000_s1026" type="#_x0000_t202" style="position:absolute;left:0;text-align:left;margin-left:398.05pt;margin-top:.7pt;width:449.25pt;height:1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" fillcolor="white [3201]" strokeweight=".5pt">
                <v:textbox>
                  <w:txbxContent>
                    <w:p w14:paraId="4E850AC0" w14:textId="77777777" w:rsidR="009940CA" w:rsidRDefault="009940CA"/>
                    <w:sdt>
                      <w:sdtPr>
                        <w:rPr>
                          <w:rStyle w:val="Style6"/>
                        </w:rPr>
                        <w:alias w:val="Recommendations"/>
                        <w:tag w:val="Recommendations"/>
                        <w:id w:val="-1634171231"/>
                        <w:placeholder>
                          <w:docPart w:val="6A9E8857DB8647FABF64567742B78AD3"/>
                        </w:placeholder>
                      </w:sdtPr>
                      <w:sdtEndPr>
                        <w:rPr>
                          <w:rStyle w:val="Style6"/>
                        </w:rPr>
                      </w:sdtEndPr>
                      <w:sdtContent>
                        <w:p w14:paraId="60FA4B8E" w14:textId="77777777" w:rsidR="009940CA" w:rsidRPr="00A627DD" w:rsidRDefault="009940CA" w:rsidP="00B84F31">
                          <w:pPr>
                            <w:ind w:left="0" w:firstLine="0"/>
                          </w:pPr>
                          <w:r>
                            <w:rPr>
                              <w:rStyle w:val="Style6"/>
                            </w:rPr>
                            <w:t>Recommendation</w:t>
                          </w:r>
                        </w:p>
                      </w:sdtContent>
                    </w:sdt>
                    <w:p w14:paraId="7D315E53" w14:textId="26E266F6" w:rsidR="009940CA" w:rsidRPr="009B1ED4" w:rsidRDefault="009940CA" w:rsidP="00B84F31">
                      <w:pPr>
                        <w:ind w:left="0" w:firstLine="0"/>
                        <w:rPr>
                          <w:rStyle w:val="Style6"/>
                          <w:b w:val="0"/>
                        </w:rPr>
                      </w:pPr>
                      <w:r w:rsidRPr="009B1ED4">
                        <w:rPr>
                          <w:rStyle w:val="Style6"/>
                          <w:b w:val="0"/>
                        </w:rPr>
                        <w:t xml:space="preserve">That </w:t>
                      </w:r>
                      <w:r w:rsidR="009B67D5" w:rsidRPr="009B1ED4">
                        <w:t>Environment, Economy, Housing &amp; Transport Board</w:t>
                      </w:r>
                      <w:r w:rsidR="009B67D5">
                        <w:t xml:space="preserve"> </w:t>
                      </w:r>
                      <w:r w:rsidRPr="009B1ED4">
                        <w:rPr>
                          <w:rStyle w:val="Style6"/>
                          <w:b w:val="0"/>
                        </w:rPr>
                        <w:t>members note the contents of the report.</w:t>
                      </w:r>
                    </w:p>
                    <w:p w14:paraId="69FC8AE3" w14:textId="77777777" w:rsidR="009940CA" w:rsidRPr="00A627DD" w:rsidRDefault="009B67D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940CA">
                            <w:rPr>
                              <w:rStyle w:val="Style6"/>
                            </w:rPr>
                            <w:t>Action</w:t>
                          </w:r>
                        </w:sdtContent>
                      </w:sdt>
                    </w:p>
                    <w:p w14:paraId="186926AB" w14:textId="77777777" w:rsidR="009940CA" w:rsidRPr="00B84F31" w:rsidRDefault="009940CA" w:rsidP="00B84F31">
                      <w:pPr>
                        <w:pStyle w:val="Title3"/>
                        <w:ind w:left="0" w:firstLine="0"/>
                      </w:pPr>
                      <w:r>
                        <w:t>Officers to take forward any member comments for future policy work.</w:t>
                      </w:r>
                    </w:p>
                    <w:p w14:paraId="14FD3FCC" w14:textId="77777777" w:rsidR="009940CA" w:rsidRDefault="009940CA"/>
                  </w:txbxContent>
                </v:textbox>
                <w10:wrap anchorx="margin"/>
              </v:shape>
            </w:pict>
          </mc:Fallback>
        </mc:AlternateContent>
      </w:r>
    </w:p>
    <w:p w14:paraId="3CC47740" w14:textId="77777777" w:rsidR="009B6F95" w:rsidRDefault="009B6F95" w:rsidP="00B84F31">
      <w:pPr>
        <w:pStyle w:val="Title3"/>
      </w:pPr>
    </w:p>
    <w:p w14:paraId="581FA079" w14:textId="77777777" w:rsidR="009B6F95" w:rsidRDefault="009B6F95" w:rsidP="00B84F31">
      <w:pPr>
        <w:pStyle w:val="Title3"/>
      </w:pPr>
    </w:p>
    <w:p w14:paraId="505C3412" w14:textId="77777777" w:rsidR="009B6F95" w:rsidRDefault="009B6F95" w:rsidP="00B84F31">
      <w:pPr>
        <w:pStyle w:val="Title3"/>
      </w:pPr>
    </w:p>
    <w:p w14:paraId="7C4688E0" w14:textId="77777777" w:rsidR="009B6F95" w:rsidRDefault="009B6F95" w:rsidP="00B84F31">
      <w:pPr>
        <w:pStyle w:val="Title3"/>
      </w:pPr>
    </w:p>
    <w:p w14:paraId="38FE009F" w14:textId="77777777" w:rsidR="009B6F95" w:rsidRDefault="009B6F95" w:rsidP="00B84F31">
      <w:pPr>
        <w:pStyle w:val="Title3"/>
      </w:pPr>
    </w:p>
    <w:p w14:paraId="036AA85C" w14:textId="77777777" w:rsidR="009B6F95" w:rsidRDefault="009B6F95" w:rsidP="00B84F31">
      <w:pPr>
        <w:pStyle w:val="Title3"/>
      </w:pPr>
    </w:p>
    <w:p w14:paraId="2DC987AC" w14:textId="77777777" w:rsidR="009B6F95" w:rsidRDefault="009B6F95" w:rsidP="00B84F31">
      <w:pPr>
        <w:pStyle w:val="Title3"/>
      </w:pPr>
    </w:p>
    <w:p w14:paraId="27669871" w14:textId="77777777" w:rsidR="009B6F95" w:rsidRDefault="009B6F95" w:rsidP="00B84F31">
      <w:pPr>
        <w:pStyle w:val="Title3"/>
      </w:pPr>
      <w:bookmarkStart w:id="1" w:name="_GoBack"/>
      <w:bookmarkEnd w:id="1"/>
    </w:p>
    <w:p w14:paraId="25F3016B" w14:textId="77777777" w:rsidR="009B6F95" w:rsidRDefault="009B6F95" w:rsidP="00B84F31">
      <w:pPr>
        <w:pStyle w:val="Title3"/>
      </w:pPr>
    </w:p>
    <w:p w14:paraId="768A1B97" w14:textId="77777777" w:rsidR="009B6F95" w:rsidRPr="00C803F3" w:rsidRDefault="009B67D5"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32C35">
            <w:t>Jo Allchurch</w:t>
          </w:r>
          <w:r w:rsidR="009B1ED4">
            <w:t xml:space="preserve"> </w:t>
          </w:r>
        </w:sdtContent>
      </w:sdt>
    </w:p>
    <w:p w14:paraId="2B517920" w14:textId="77777777" w:rsidR="009B6F95" w:rsidRDefault="009B67D5"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D0B5A" w:rsidRPr="008D0B5A">
            <w:t>Senior Adviser</w:t>
          </w:r>
        </w:sdtContent>
      </w:sdt>
    </w:p>
    <w:p w14:paraId="6FA09178" w14:textId="77777777" w:rsidR="009B6F95" w:rsidRDefault="009B67D5"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D32C35">
        <w:t>07900 931045</w:t>
      </w:r>
    </w:p>
    <w:p w14:paraId="7DF9A86B" w14:textId="77777777" w:rsidR="009B6F95" w:rsidRDefault="009B67D5"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D32C35">
            <w:t>jo.allchurch</w:t>
          </w:r>
          <w:r w:rsidR="008D0B5A" w:rsidRPr="008D0B5A">
            <w:t>@local.gov.uk</w:t>
          </w:r>
        </w:sdtContent>
      </w:sdt>
    </w:p>
    <w:p w14:paraId="6DBF0C93" w14:textId="77777777" w:rsidR="009B6F95" w:rsidRPr="00E8118A" w:rsidRDefault="009B6F95" w:rsidP="00B84F31">
      <w:pPr>
        <w:pStyle w:val="Title3"/>
      </w:pPr>
    </w:p>
    <w:p w14:paraId="55525F68" w14:textId="77777777" w:rsidR="009B6F95" w:rsidRPr="00C803F3" w:rsidRDefault="009B6F95" w:rsidP="00B84F31">
      <w:pPr>
        <w:pStyle w:val="Title3"/>
      </w:pPr>
      <w:r w:rsidRPr="00C803F3">
        <w:t xml:space="preserve"> </w:t>
      </w:r>
    </w:p>
    <w:p w14:paraId="54230A4C" w14:textId="77777777" w:rsidR="009B6F95" w:rsidRPr="00C803F3" w:rsidRDefault="009B6F95"/>
    <w:p w14:paraId="5F4EE691" w14:textId="77777777" w:rsidR="009B6F95" w:rsidRPr="00C803F3" w:rsidRDefault="009B6F95"/>
    <w:p w14:paraId="70F02429" w14:textId="77777777" w:rsidR="009B6F95" w:rsidRPr="00C803F3" w:rsidRDefault="009B6F95"/>
    <w:p w14:paraId="47A830C8" w14:textId="73DBB7E8" w:rsidR="008D0B5A" w:rsidRPr="000E67F0" w:rsidRDefault="005559E6" w:rsidP="008D0B5A">
      <w:pPr>
        <w:pStyle w:val="Title1"/>
        <w:ind w:left="0" w:firstLine="0"/>
      </w:pPr>
      <w:r w:rsidRPr="000E67F0">
        <w:rPr>
          <w:rFonts w:cs="Arial"/>
          <w:lang w:val="en"/>
        </w:rPr>
        <w:lastRenderedPageBreak/>
        <w:t xml:space="preserve">Housing Update Paper </w:t>
      </w:r>
    </w:p>
    <w:p w14:paraId="11A29A9F" w14:textId="284EDFB4" w:rsidR="00C43F31" w:rsidRPr="00C43F31" w:rsidRDefault="008D0B5A" w:rsidP="000E67F0">
      <w:pPr>
        <w:rPr>
          <w:rFonts w:cs="Arial"/>
          <w:u w:val="single"/>
        </w:rPr>
      </w:pPr>
      <w:r w:rsidRPr="008D0B5A">
        <w:rPr>
          <w:rFonts w:eastAsia="Calibri" w:cs="Arial"/>
          <w:b/>
        </w:rPr>
        <w:t xml:space="preserve">Planning </w:t>
      </w:r>
    </w:p>
    <w:p w14:paraId="0260F32F" w14:textId="3FAF8258" w:rsidR="00670F9E" w:rsidRPr="00670F9E" w:rsidRDefault="00670F9E" w:rsidP="00670F9E">
      <w:pPr>
        <w:pStyle w:val="ListParagraph"/>
        <w:numPr>
          <w:ilvl w:val="0"/>
          <w:numId w:val="7"/>
        </w:numPr>
        <w:spacing w:after="0"/>
        <w:ind w:left="357" w:hanging="357"/>
        <w:rPr>
          <w:rFonts w:cs="Arial"/>
          <w:u w:val="single"/>
        </w:rPr>
      </w:pPr>
      <w:r w:rsidRPr="008D0B5A">
        <w:rPr>
          <w:rFonts w:cs="Arial"/>
          <w:u w:val="single"/>
        </w:rPr>
        <w:t xml:space="preserve">Permitted development rights (PDR) </w:t>
      </w:r>
      <w:r w:rsidRPr="00A212FC">
        <w:rPr>
          <w:rFonts w:cs="Arial"/>
        </w:rPr>
        <w:t xml:space="preserve">– </w:t>
      </w:r>
      <w:r>
        <w:rPr>
          <w:rFonts w:cs="Arial"/>
        </w:rPr>
        <w:t xml:space="preserve">We are engaging with a number of national stakeholders who continue to raise concerns about the impact of permitted development rights to plan post-election activity and how we can work together to maximise our influence. </w:t>
      </w:r>
      <w:r w:rsidR="00B042DD">
        <w:rPr>
          <w:rFonts w:cs="Arial"/>
        </w:rPr>
        <w:t>A</w:t>
      </w:r>
      <w:r>
        <w:rPr>
          <w:rFonts w:cs="Arial"/>
        </w:rPr>
        <w:t xml:space="preserve"> review of</w:t>
      </w:r>
      <w:r w:rsidRPr="008D0B5A">
        <w:rPr>
          <w:rFonts w:cs="Arial"/>
        </w:rPr>
        <w:t xml:space="preserve"> permitted development rights for conversion </w:t>
      </w:r>
      <w:r>
        <w:rPr>
          <w:rFonts w:cs="Arial"/>
        </w:rPr>
        <w:t>of buildings to residential use in respect of the quality standard of homes delivered</w:t>
      </w:r>
      <w:r w:rsidR="00B042DD">
        <w:rPr>
          <w:rFonts w:cs="Arial"/>
        </w:rPr>
        <w:t xml:space="preserve"> is underway</w:t>
      </w:r>
      <w:r>
        <w:rPr>
          <w:rFonts w:cs="Arial"/>
        </w:rPr>
        <w:t xml:space="preserve">. </w:t>
      </w:r>
    </w:p>
    <w:p w14:paraId="5C5DF7C3" w14:textId="77777777" w:rsidR="00670F9E" w:rsidRPr="00D50FEE" w:rsidRDefault="00670F9E" w:rsidP="00670F9E">
      <w:pPr>
        <w:pStyle w:val="ListParagraph"/>
        <w:spacing w:after="0"/>
        <w:ind w:left="357"/>
        <w:rPr>
          <w:rFonts w:cs="Arial"/>
          <w:u w:val="single"/>
        </w:rPr>
      </w:pPr>
    </w:p>
    <w:p w14:paraId="40DCED6E" w14:textId="3F137882" w:rsidR="00670F9E" w:rsidRPr="00670F9E" w:rsidRDefault="00670F9E" w:rsidP="00670F9E">
      <w:pPr>
        <w:pStyle w:val="ListParagraph"/>
        <w:numPr>
          <w:ilvl w:val="0"/>
          <w:numId w:val="7"/>
        </w:numPr>
        <w:spacing w:after="0"/>
        <w:ind w:left="357" w:hanging="357"/>
        <w:rPr>
          <w:rFonts w:cs="Arial"/>
          <w:u w:val="single"/>
        </w:rPr>
      </w:pPr>
      <w:r>
        <w:rPr>
          <w:rFonts w:cs="Arial"/>
          <w:u w:val="single"/>
        </w:rPr>
        <w:t>Probity in planning</w:t>
      </w:r>
      <w:r w:rsidRPr="00A7349F">
        <w:rPr>
          <w:rFonts w:cs="Arial"/>
        </w:rPr>
        <w:t xml:space="preserve"> </w:t>
      </w:r>
      <w:r>
        <w:rPr>
          <w:rFonts w:cs="Arial"/>
        </w:rPr>
        <w:t>– we have now received a final draft of this update to the 2013 Probity in Planning guid</w:t>
      </w:r>
      <w:r w:rsidR="00270318">
        <w:rPr>
          <w:rFonts w:cs="Arial"/>
        </w:rPr>
        <w:t xml:space="preserve">e for councillors and officers. </w:t>
      </w:r>
      <w:r>
        <w:rPr>
          <w:rFonts w:cs="Arial"/>
        </w:rPr>
        <w:t>The final version will be published in December.</w:t>
      </w:r>
    </w:p>
    <w:p w14:paraId="1ABA4476" w14:textId="77777777" w:rsidR="00670F9E" w:rsidRPr="00670F9E" w:rsidRDefault="00670F9E" w:rsidP="00670F9E">
      <w:pPr>
        <w:spacing w:after="0"/>
        <w:ind w:left="0" w:firstLine="0"/>
        <w:rPr>
          <w:rFonts w:cs="Arial"/>
          <w:u w:val="single"/>
        </w:rPr>
      </w:pPr>
    </w:p>
    <w:p w14:paraId="03887C98" w14:textId="3DF20328" w:rsidR="00D50FEE" w:rsidRPr="009940CA" w:rsidRDefault="00D50FEE" w:rsidP="009940CA">
      <w:pPr>
        <w:pStyle w:val="ListParagraph"/>
        <w:numPr>
          <w:ilvl w:val="0"/>
          <w:numId w:val="7"/>
        </w:numPr>
        <w:spacing w:after="0"/>
        <w:ind w:left="357" w:hanging="357"/>
        <w:rPr>
          <w:rFonts w:cs="Arial"/>
          <w:u w:val="single"/>
        </w:rPr>
      </w:pPr>
      <w:r w:rsidRPr="00D50FEE">
        <w:rPr>
          <w:rFonts w:cs="Arial"/>
          <w:u w:val="single"/>
        </w:rPr>
        <w:t>Future Homes Standard consultation</w:t>
      </w:r>
      <w:r w:rsidRPr="00D50FEE">
        <w:rPr>
          <w:rFonts w:cs="Arial"/>
        </w:rPr>
        <w:t xml:space="preserve"> – </w:t>
      </w:r>
      <w:r w:rsidR="00045008">
        <w:rPr>
          <w:rFonts w:cs="Arial"/>
        </w:rPr>
        <w:t>we are engaging with councils and other stakeholders to inform our response to this</w:t>
      </w:r>
      <w:r w:rsidR="009940CA">
        <w:rPr>
          <w:rFonts w:cs="Arial"/>
        </w:rPr>
        <w:t xml:space="preserve"> </w:t>
      </w:r>
      <w:r w:rsidRPr="00D50FEE">
        <w:rPr>
          <w:rFonts w:cs="Arial"/>
        </w:rPr>
        <w:t xml:space="preserve">consultation which looks at how the </w:t>
      </w:r>
      <w:r w:rsidR="00B042DD">
        <w:rPr>
          <w:rFonts w:cs="Arial"/>
        </w:rPr>
        <w:t>national</w:t>
      </w:r>
      <w:r w:rsidRPr="00D50FEE">
        <w:rPr>
          <w:rFonts w:cs="Arial"/>
        </w:rPr>
        <w:t xml:space="preserve"> commitment to reducing emissions can be achieved through new homes building guidance. </w:t>
      </w:r>
    </w:p>
    <w:p w14:paraId="10F198CE" w14:textId="77777777" w:rsidR="00D50FEE" w:rsidRPr="00670F9E" w:rsidRDefault="00D50FEE" w:rsidP="00670F9E">
      <w:pPr>
        <w:spacing w:after="0" w:line="240" w:lineRule="auto"/>
        <w:ind w:left="0" w:firstLine="0"/>
        <w:rPr>
          <w:rFonts w:cs="Arial"/>
          <w:u w:val="single"/>
        </w:rPr>
      </w:pPr>
    </w:p>
    <w:p w14:paraId="1F7FC31F" w14:textId="49CD40FD" w:rsidR="00D50FEE" w:rsidRDefault="00D50FEE" w:rsidP="007065A5">
      <w:pPr>
        <w:pStyle w:val="ListParagraph"/>
        <w:numPr>
          <w:ilvl w:val="0"/>
          <w:numId w:val="7"/>
        </w:numPr>
        <w:spacing w:after="0"/>
        <w:ind w:left="357" w:hanging="357"/>
        <w:rPr>
          <w:rFonts w:cs="Arial"/>
          <w:u w:val="single"/>
        </w:rPr>
      </w:pPr>
      <w:r w:rsidRPr="00401EE0">
        <w:rPr>
          <w:rFonts w:cs="Arial"/>
          <w:u w:val="single"/>
        </w:rPr>
        <w:t>Future Place programme</w:t>
      </w:r>
      <w:r>
        <w:rPr>
          <w:rFonts w:cs="Arial"/>
        </w:rPr>
        <w:t xml:space="preserve"> – we are continuing to work with the RTPI, C</w:t>
      </w:r>
      <w:r w:rsidR="009940CA">
        <w:rPr>
          <w:rFonts w:cs="Arial"/>
        </w:rPr>
        <w:t xml:space="preserve">IH, RIBA, Homes England and </w:t>
      </w:r>
      <w:r>
        <w:rPr>
          <w:rFonts w:cs="Arial"/>
        </w:rPr>
        <w:t xml:space="preserve">Local Partnerships to provide capacity support to the 5 Future Places that were announced in March 2019. </w:t>
      </w:r>
      <w:r w:rsidRPr="00401EE0">
        <w:rPr>
          <w:rFonts w:cs="Arial"/>
        </w:rPr>
        <w:t>Future Place is a joint programme to unlock local potential for place-shaping.</w:t>
      </w:r>
      <w:r w:rsidR="00270318" w:rsidRPr="00270318">
        <w:rPr>
          <w:rFonts w:cs="Arial"/>
        </w:rPr>
        <w:t xml:space="preserve"> </w:t>
      </w:r>
      <w:r w:rsidR="00045008" w:rsidRPr="009940CA">
        <w:rPr>
          <w:rFonts w:cs="Arial"/>
        </w:rPr>
        <w:t xml:space="preserve">A mid-term review has </w:t>
      </w:r>
      <w:r w:rsidR="00691B8D" w:rsidRPr="009940CA">
        <w:rPr>
          <w:rFonts w:cs="Arial"/>
        </w:rPr>
        <w:t xml:space="preserve">recently </w:t>
      </w:r>
      <w:r w:rsidR="00045008" w:rsidRPr="009940CA">
        <w:rPr>
          <w:rFonts w:cs="Arial"/>
        </w:rPr>
        <w:t xml:space="preserve">been held with </w:t>
      </w:r>
      <w:r w:rsidR="00691B8D" w:rsidRPr="009940CA">
        <w:rPr>
          <w:rFonts w:cs="Arial"/>
        </w:rPr>
        <w:t>p</w:t>
      </w:r>
      <w:r w:rsidR="00A30275" w:rsidRPr="009940CA">
        <w:rPr>
          <w:rFonts w:cs="Arial"/>
        </w:rPr>
        <w:t>rogramme participants present</w:t>
      </w:r>
      <w:r w:rsidR="00045008" w:rsidRPr="009940CA">
        <w:rPr>
          <w:rFonts w:cs="Arial"/>
        </w:rPr>
        <w:t>ing</w:t>
      </w:r>
      <w:r w:rsidR="00A30275" w:rsidRPr="009940CA">
        <w:rPr>
          <w:rFonts w:cs="Arial"/>
        </w:rPr>
        <w:t xml:space="preserve"> </w:t>
      </w:r>
      <w:r w:rsidR="00045008" w:rsidRPr="009940CA">
        <w:rPr>
          <w:rFonts w:cs="Arial"/>
        </w:rPr>
        <w:t>on activity to date</w:t>
      </w:r>
      <w:r w:rsidR="00691B8D" w:rsidRPr="009940CA">
        <w:rPr>
          <w:rFonts w:cs="Arial"/>
        </w:rPr>
        <w:t>.</w:t>
      </w:r>
    </w:p>
    <w:p w14:paraId="036D3D27" w14:textId="77777777" w:rsidR="00CC1395" w:rsidRPr="00CC1395" w:rsidRDefault="009137FF" w:rsidP="00D50FEE">
      <w:pPr>
        <w:pStyle w:val="ListParagraph"/>
        <w:rPr>
          <w:rFonts w:cs="Arial"/>
          <w:u w:val="single"/>
        </w:rPr>
      </w:pPr>
      <w:r>
        <w:rPr>
          <w:rFonts w:ascii="Verdana" w:hAnsi="Verdana"/>
          <w:vanish/>
          <w:lang w:val="en"/>
        </w:rPr>
        <w:t>intend to review permitted development rights for conversion of buildings to residential use in respect of the quality standard of homes delivered</w:t>
      </w:r>
      <w:r w:rsidRPr="009137FF">
        <w:rPr>
          <w:rFonts w:ascii="Verdana" w:hAnsi="Verdana"/>
          <w:vanish/>
          <w:lang w:val="en"/>
        </w:rPr>
        <w:t xml:space="preserve"> </w:t>
      </w:r>
      <w:r>
        <w:rPr>
          <w:rFonts w:ascii="Verdana" w:hAnsi="Verdana"/>
          <w:vanish/>
          <w:lang w:val="en"/>
        </w:rPr>
        <w:t>intend to review permitted development rights for conversion of buildings to residential use in respect of the quality standard of homes deliveredreview permitted development rights for conversion of buildings to residential use in respect of the quality standard of homes delivered</w:t>
      </w:r>
    </w:p>
    <w:p w14:paraId="62774152" w14:textId="6902FB26" w:rsidR="00670F9E" w:rsidRDefault="00A212FC" w:rsidP="00670F9E">
      <w:pPr>
        <w:pStyle w:val="ListParagraph"/>
        <w:numPr>
          <w:ilvl w:val="0"/>
          <w:numId w:val="7"/>
        </w:numPr>
        <w:spacing w:after="0"/>
        <w:ind w:left="357" w:hanging="357"/>
        <w:rPr>
          <w:rFonts w:cs="Arial"/>
          <w:u w:val="single"/>
        </w:rPr>
      </w:pPr>
      <w:r w:rsidRPr="008D0B5A">
        <w:rPr>
          <w:rFonts w:cs="Arial"/>
          <w:u w:val="single"/>
        </w:rPr>
        <w:t>Housing, Planning and Infrastructure Conference</w:t>
      </w:r>
      <w:r w:rsidRPr="008D0B5A">
        <w:rPr>
          <w:rFonts w:cs="Arial"/>
        </w:rPr>
        <w:t xml:space="preserve"> </w:t>
      </w:r>
      <w:r>
        <w:rPr>
          <w:rFonts w:cs="Arial"/>
        </w:rPr>
        <w:t>–</w:t>
      </w:r>
      <w:r w:rsidRPr="008D0B5A">
        <w:rPr>
          <w:rFonts w:cs="Arial"/>
        </w:rPr>
        <w:t xml:space="preserve"> </w:t>
      </w:r>
      <w:r w:rsidR="00CC1395">
        <w:rPr>
          <w:rFonts w:cs="Arial"/>
        </w:rPr>
        <w:t>this will be held on 17 March</w:t>
      </w:r>
      <w:r w:rsidR="00270318">
        <w:rPr>
          <w:rFonts w:cs="Arial"/>
        </w:rPr>
        <w:t xml:space="preserve"> </w:t>
      </w:r>
      <w:r w:rsidR="00CC1395">
        <w:rPr>
          <w:rFonts w:cs="Arial"/>
        </w:rPr>
        <w:t>2020</w:t>
      </w:r>
      <w:r w:rsidR="00691B8D">
        <w:rPr>
          <w:rFonts w:cs="Arial"/>
        </w:rPr>
        <w:t xml:space="preserve"> and work is underway to secure speakers.</w:t>
      </w:r>
      <w:r w:rsidR="00670F9E" w:rsidRPr="00670F9E">
        <w:rPr>
          <w:rFonts w:cs="Arial"/>
          <w:u w:val="single"/>
        </w:rPr>
        <w:t xml:space="preserve"> </w:t>
      </w:r>
    </w:p>
    <w:p w14:paraId="09652329" w14:textId="77777777" w:rsidR="00670F9E" w:rsidRPr="00670F9E" w:rsidRDefault="00670F9E" w:rsidP="00670F9E">
      <w:pPr>
        <w:spacing w:after="0"/>
        <w:ind w:left="0" w:firstLine="0"/>
        <w:rPr>
          <w:rFonts w:cs="Arial"/>
          <w:u w:val="single"/>
        </w:rPr>
      </w:pPr>
    </w:p>
    <w:p w14:paraId="10CFC030" w14:textId="49231409" w:rsidR="00A212FC" w:rsidRPr="00670F9E" w:rsidRDefault="00670F9E" w:rsidP="00670F9E">
      <w:pPr>
        <w:pStyle w:val="ListParagraph"/>
        <w:numPr>
          <w:ilvl w:val="0"/>
          <w:numId w:val="7"/>
        </w:numPr>
        <w:spacing w:after="0"/>
        <w:ind w:left="357" w:hanging="357"/>
        <w:rPr>
          <w:rFonts w:cs="Arial"/>
          <w:u w:val="single"/>
        </w:rPr>
      </w:pPr>
      <w:r w:rsidRPr="00C43F31">
        <w:rPr>
          <w:rFonts w:cs="Arial"/>
          <w:u w:val="single"/>
        </w:rPr>
        <w:t xml:space="preserve">Compulsory purchase </w:t>
      </w:r>
      <w:r w:rsidRPr="007065A5">
        <w:rPr>
          <w:rFonts w:cs="Arial"/>
        </w:rPr>
        <w:t>–</w:t>
      </w:r>
      <w:r w:rsidRPr="00C43F31">
        <w:rPr>
          <w:rFonts w:cs="Arial"/>
        </w:rPr>
        <w:t xml:space="preserve"> </w:t>
      </w:r>
      <w:r>
        <w:rPr>
          <w:rFonts w:cs="Arial"/>
        </w:rPr>
        <w:t>w</w:t>
      </w:r>
      <w:r w:rsidRPr="00C43F31">
        <w:rPr>
          <w:rFonts w:cs="Arial"/>
        </w:rPr>
        <w:t xml:space="preserve">e </w:t>
      </w:r>
      <w:r>
        <w:rPr>
          <w:rFonts w:cs="Arial"/>
        </w:rPr>
        <w:t>ran</w:t>
      </w:r>
      <w:r w:rsidRPr="00C43F31">
        <w:rPr>
          <w:rFonts w:cs="Arial"/>
        </w:rPr>
        <w:t xml:space="preserve"> a technical masterclass for local authorities on understanding compulsory purchase orders and compensatio</w:t>
      </w:r>
      <w:r>
        <w:rPr>
          <w:rFonts w:cs="Arial"/>
        </w:rPr>
        <w:t>n.</w:t>
      </w:r>
      <w:r w:rsidRPr="00C43F31">
        <w:rPr>
          <w:rFonts w:cs="Arial"/>
        </w:rPr>
        <w:t xml:space="preserve"> </w:t>
      </w:r>
    </w:p>
    <w:p w14:paraId="0D17DF87" w14:textId="77777777" w:rsidR="00BF15EE" w:rsidRDefault="00BF15EE" w:rsidP="00BF15EE">
      <w:pPr>
        <w:spacing w:after="0"/>
        <w:rPr>
          <w:rFonts w:cs="Arial"/>
          <w:b/>
        </w:rPr>
      </w:pPr>
    </w:p>
    <w:p w14:paraId="4776BB3B" w14:textId="35277B50" w:rsidR="00941205" w:rsidRPr="009940CA" w:rsidRDefault="00C02B27" w:rsidP="009940CA">
      <w:pPr>
        <w:rPr>
          <w:rFonts w:cs="Arial"/>
          <w:b/>
        </w:rPr>
      </w:pPr>
      <w:r>
        <w:rPr>
          <w:rFonts w:cs="Arial"/>
          <w:b/>
        </w:rPr>
        <w:t>H</w:t>
      </w:r>
      <w:r w:rsidR="008D0B5A" w:rsidRPr="008D0B5A">
        <w:rPr>
          <w:rFonts w:cs="Arial"/>
          <w:b/>
        </w:rPr>
        <w:t>ousing</w:t>
      </w:r>
    </w:p>
    <w:p w14:paraId="3155D536" w14:textId="068E0069" w:rsidR="00C02B27" w:rsidRPr="00E9282E" w:rsidRDefault="00691B8D" w:rsidP="00C02B27">
      <w:pPr>
        <w:pStyle w:val="ListParagraph"/>
        <w:numPr>
          <w:ilvl w:val="0"/>
          <w:numId w:val="7"/>
        </w:numPr>
        <w:rPr>
          <w:rFonts w:cs="Arial"/>
        </w:rPr>
      </w:pPr>
      <w:r>
        <w:rPr>
          <w:rFonts w:cs="Arial"/>
          <w:u w:val="single"/>
        </w:rPr>
        <w:t>Working</w:t>
      </w:r>
      <w:r w:rsidR="009940CA">
        <w:rPr>
          <w:rFonts w:cs="Arial"/>
          <w:u w:val="single"/>
        </w:rPr>
        <w:t xml:space="preserve"> </w:t>
      </w:r>
      <w:r w:rsidR="008D0B5A" w:rsidRPr="008D0B5A">
        <w:rPr>
          <w:rFonts w:cs="Arial"/>
          <w:u w:val="single"/>
        </w:rPr>
        <w:t>with the National Housing Federation</w:t>
      </w:r>
      <w:r w:rsidR="008D0B5A" w:rsidRPr="008D0B5A">
        <w:rPr>
          <w:rFonts w:cs="Arial"/>
        </w:rPr>
        <w:t xml:space="preserve"> – </w:t>
      </w:r>
      <w:r>
        <w:rPr>
          <w:rFonts w:cs="Arial"/>
        </w:rPr>
        <w:t xml:space="preserve">following on from the case studies we have recently published on councils working in partnership with housing associations, officers </w:t>
      </w:r>
      <w:r w:rsidR="00670F9E">
        <w:rPr>
          <w:rFonts w:cs="Arial"/>
        </w:rPr>
        <w:t xml:space="preserve">are </w:t>
      </w:r>
      <w:r w:rsidR="009940CA">
        <w:rPr>
          <w:rFonts w:cs="Arial"/>
        </w:rPr>
        <w:t>currently planning</w:t>
      </w:r>
      <w:r>
        <w:rPr>
          <w:rFonts w:cs="Arial"/>
        </w:rPr>
        <w:t xml:space="preserve"> future joint activity. </w:t>
      </w:r>
    </w:p>
    <w:p w14:paraId="10B5603E" w14:textId="77777777" w:rsidR="00A30275" w:rsidRPr="00C16CAB" w:rsidRDefault="00A30275" w:rsidP="00C16CAB">
      <w:pPr>
        <w:pStyle w:val="ListParagraph"/>
        <w:rPr>
          <w:rFonts w:cs="Arial"/>
          <w:color w:val="000000"/>
          <w:u w:val="single"/>
          <w:lang w:eastAsia="en-GB"/>
        </w:rPr>
      </w:pPr>
    </w:p>
    <w:p w14:paraId="7C5A809F" w14:textId="0EE999DA" w:rsidR="00941205" w:rsidRPr="009940CA" w:rsidRDefault="00C02B27" w:rsidP="009940CA">
      <w:pPr>
        <w:pStyle w:val="ListParagraph"/>
        <w:numPr>
          <w:ilvl w:val="0"/>
          <w:numId w:val="7"/>
        </w:numPr>
        <w:rPr>
          <w:rFonts w:cs="Arial"/>
        </w:rPr>
      </w:pPr>
      <w:r w:rsidRPr="00C02B27">
        <w:rPr>
          <w:rFonts w:cs="Arial"/>
          <w:color w:val="000000"/>
          <w:u w:val="single"/>
          <w:lang w:eastAsia="en-GB"/>
        </w:rPr>
        <w:t>Parliamentary briefings</w:t>
      </w:r>
      <w:r>
        <w:rPr>
          <w:rFonts w:cs="Arial"/>
          <w:color w:val="000000"/>
          <w:lang w:eastAsia="en-GB"/>
        </w:rPr>
        <w:t xml:space="preserve"> - w</w:t>
      </w:r>
      <w:r w:rsidRPr="00C02B27">
        <w:rPr>
          <w:rFonts w:cs="Arial"/>
          <w:color w:val="000000"/>
          <w:lang w:eastAsia="en-GB"/>
        </w:rPr>
        <w:t xml:space="preserve">e have briefed MPs ahead of the following debates: </w:t>
      </w:r>
      <w:hyperlink r:id="rId11" w:history="1">
        <w:r w:rsidR="009C6F23" w:rsidRPr="009C6F23">
          <w:rPr>
            <w:rStyle w:val="Hyperlink"/>
            <w:rFonts w:cs="Arial"/>
            <w:lang w:eastAsia="en-GB"/>
          </w:rPr>
          <w:t>Building out extant planning permissions</w:t>
        </w:r>
      </w:hyperlink>
    </w:p>
    <w:p w14:paraId="32C00129" w14:textId="77777777" w:rsidR="009940CA" w:rsidRPr="009940CA" w:rsidRDefault="009940CA" w:rsidP="009940CA">
      <w:pPr>
        <w:pStyle w:val="ListParagraph"/>
        <w:ind w:left="360"/>
        <w:rPr>
          <w:rFonts w:cs="Arial"/>
        </w:rPr>
      </w:pPr>
    </w:p>
    <w:p w14:paraId="37054428" w14:textId="4A053843" w:rsidR="00941205" w:rsidRDefault="00941205" w:rsidP="00941205">
      <w:pPr>
        <w:pStyle w:val="ListParagraph"/>
        <w:numPr>
          <w:ilvl w:val="0"/>
          <w:numId w:val="7"/>
        </w:numPr>
        <w:rPr>
          <w:rFonts w:cs="Arial"/>
        </w:rPr>
      </w:pPr>
      <w:r w:rsidRPr="008D0B5A">
        <w:rPr>
          <w:rFonts w:cs="Arial"/>
          <w:u w:val="single"/>
        </w:rPr>
        <w:t>Right to Buy (</w:t>
      </w:r>
      <w:proofErr w:type="spellStart"/>
      <w:r w:rsidRPr="008D0B5A">
        <w:rPr>
          <w:rFonts w:cs="Arial"/>
          <w:u w:val="single"/>
        </w:rPr>
        <w:t>RtB</w:t>
      </w:r>
      <w:proofErr w:type="spellEnd"/>
      <w:r w:rsidRPr="008D0B5A">
        <w:rPr>
          <w:rFonts w:cs="Arial"/>
          <w:u w:val="single"/>
        </w:rPr>
        <w:t>) reform</w:t>
      </w:r>
      <w:r w:rsidRPr="008D0B5A">
        <w:rPr>
          <w:rFonts w:cs="Arial"/>
        </w:rPr>
        <w:t xml:space="preserve"> – </w:t>
      </w:r>
      <w:r w:rsidR="00362650">
        <w:rPr>
          <w:rFonts w:cs="Arial"/>
        </w:rPr>
        <w:t>We co</w:t>
      </w:r>
      <w:r w:rsidR="000E67F0">
        <w:rPr>
          <w:rFonts w:cs="Arial"/>
        </w:rPr>
        <w:t>ntinue to make the case for 100</w:t>
      </w:r>
      <w:r w:rsidR="00362650">
        <w:rPr>
          <w:rFonts w:cs="Arial"/>
        </w:rPr>
        <w:t xml:space="preserve"> per cent retention of sales receipts and the ability for councils to set discounts locally</w:t>
      </w:r>
      <w:r w:rsidR="00E9282E">
        <w:rPr>
          <w:rFonts w:cs="Arial"/>
        </w:rPr>
        <w:t xml:space="preserve"> through the media and </w:t>
      </w:r>
      <w:r w:rsidR="009940CA">
        <w:rPr>
          <w:rFonts w:cs="Arial"/>
        </w:rPr>
        <w:t>our engagement with government and other stakeholders</w:t>
      </w:r>
      <w:r w:rsidR="00362650">
        <w:rPr>
          <w:rFonts w:cs="Arial"/>
        </w:rPr>
        <w:t xml:space="preserve">. </w:t>
      </w:r>
      <w:r w:rsidR="00B042DD">
        <w:rPr>
          <w:rFonts w:cs="Arial"/>
        </w:rPr>
        <w:t>A</w:t>
      </w:r>
      <w:r>
        <w:rPr>
          <w:rFonts w:cs="Arial"/>
        </w:rPr>
        <w:t xml:space="preserve"> government response </w:t>
      </w:r>
      <w:r w:rsidRPr="008D0B5A">
        <w:rPr>
          <w:rFonts w:cs="Arial"/>
        </w:rPr>
        <w:t xml:space="preserve">to the </w:t>
      </w:r>
      <w:proofErr w:type="spellStart"/>
      <w:r w:rsidRPr="008D0B5A">
        <w:rPr>
          <w:rFonts w:cs="Arial"/>
        </w:rPr>
        <w:t>RtB</w:t>
      </w:r>
      <w:proofErr w:type="spellEnd"/>
      <w:r w:rsidRPr="008D0B5A">
        <w:rPr>
          <w:rFonts w:cs="Arial"/>
        </w:rPr>
        <w:t xml:space="preserve"> consultation which closed last year</w:t>
      </w:r>
      <w:r>
        <w:rPr>
          <w:rFonts w:cs="Arial"/>
        </w:rPr>
        <w:t xml:space="preserve"> is still awaited</w:t>
      </w:r>
      <w:r w:rsidRPr="008D0B5A">
        <w:rPr>
          <w:rFonts w:cs="Arial"/>
        </w:rPr>
        <w:t xml:space="preserve">. </w:t>
      </w:r>
    </w:p>
    <w:p w14:paraId="601477B0" w14:textId="77777777" w:rsidR="00941205" w:rsidRPr="008D0B5A" w:rsidRDefault="00941205" w:rsidP="00941205">
      <w:pPr>
        <w:pStyle w:val="ListParagraph"/>
        <w:ind w:left="360"/>
        <w:rPr>
          <w:rFonts w:cs="Arial"/>
        </w:rPr>
      </w:pPr>
    </w:p>
    <w:p w14:paraId="0C408DE2" w14:textId="37B6BCE5" w:rsidR="00177396" w:rsidRPr="00705383" w:rsidRDefault="00941205" w:rsidP="00705383">
      <w:pPr>
        <w:pStyle w:val="ListParagraph"/>
        <w:numPr>
          <w:ilvl w:val="0"/>
          <w:numId w:val="7"/>
        </w:numPr>
        <w:rPr>
          <w:rFonts w:cs="Arial"/>
        </w:rPr>
      </w:pPr>
      <w:r w:rsidRPr="008D0B5A">
        <w:rPr>
          <w:rFonts w:cs="Arial"/>
          <w:u w:val="single"/>
        </w:rPr>
        <w:t>Social Housing Green Paper</w:t>
      </w:r>
      <w:r w:rsidRPr="008D0B5A">
        <w:rPr>
          <w:rFonts w:cs="Arial"/>
        </w:rPr>
        <w:t xml:space="preserve"> – </w:t>
      </w:r>
      <w:r>
        <w:rPr>
          <w:rFonts w:cs="Arial"/>
        </w:rPr>
        <w:t xml:space="preserve">an update is still awaited from </w:t>
      </w:r>
      <w:r w:rsidR="00B042DD">
        <w:rPr>
          <w:rFonts w:cs="Arial"/>
        </w:rPr>
        <w:t>Central</w:t>
      </w:r>
      <w:r>
        <w:rPr>
          <w:rFonts w:cs="Arial"/>
        </w:rPr>
        <w:t xml:space="preserve"> Government on the next steps from the Green Paper. </w:t>
      </w:r>
    </w:p>
    <w:p w14:paraId="238FBCA5" w14:textId="77777777" w:rsidR="008D0B5A" w:rsidRPr="008D0B5A" w:rsidRDefault="008D0B5A" w:rsidP="008D0B5A">
      <w:pPr>
        <w:ind w:left="0" w:firstLine="0"/>
        <w:rPr>
          <w:rFonts w:cs="Arial"/>
          <w:b/>
        </w:rPr>
      </w:pPr>
      <w:r w:rsidRPr="008D0B5A">
        <w:rPr>
          <w:rFonts w:cs="Arial"/>
          <w:b/>
        </w:rPr>
        <w:t>Private Rented Sector</w:t>
      </w:r>
    </w:p>
    <w:p w14:paraId="08793267" w14:textId="60A45512" w:rsidR="00990025" w:rsidRPr="00C16CAB" w:rsidRDefault="008D0B5A" w:rsidP="00C16CAB">
      <w:pPr>
        <w:pStyle w:val="ListParagraph"/>
        <w:numPr>
          <w:ilvl w:val="0"/>
          <w:numId w:val="7"/>
        </w:numPr>
        <w:rPr>
          <w:rFonts w:cs="Arial"/>
        </w:rPr>
      </w:pPr>
      <w:r w:rsidRPr="008D0B5A">
        <w:rPr>
          <w:rFonts w:cs="Arial"/>
          <w:u w:val="single"/>
        </w:rPr>
        <w:t>Private rented sector improvement project</w:t>
      </w:r>
      <w:r w:rsidRPr="008D0B5A">
        <w:rPr>
          <w:rFonts w:cs="Arial"/>
        </w:rPr>
        <w:t xml:space="preserve"> </w:t>
      </w:r>
      <w:r w:rsidR="00043A7E">
        <w:rPr>
          <w:rFonts w:cs="Arial"/>
        </w:rPr>
        <w:t>–</w:t>
      </w:r>
      <w:r w:rsidRPr="008D0B5A">
        <w:rPr>
          <w:rFonts w:cs="Arial"/>
        </w:rPr>
        <w:t xml:space="preserve"> </w:t>
      </w:r>
      <w:r w:rsidR="009940CA">
        <w:rPr>
          <w:rFonts w:cs="Arial"/>
        </w:rPr>
        <w:t xml:space="preserve">the researchers leading this work will soon be </w:t>
      </w:r>
      <w:r w:rsidR="00920656">
        <w:rPr>
          <w:rFonts w:cs="Arial"/>
        </w:rPr>
        <w:t>engaging</w:t>
      </w:r>
      <w:r w:rsidR="009940CA">
        <w:rPr>
          <w:rFonts w:cs="Arial"/>
        </w:rPr>
        <w:t xml:space="preserve"> with councils to look at </w:t>
      </w:r>
      <w:r w:rsidR="00F951B4">
        <w:rPr>
          <w:rFonts w:cs="Arial"/>
        </w:rPr>
        <w:t>the range of activity being undertaken</w:t>
      </w:r>
      <w:r w:rsidR="009940CA">
        <w:rPr>
          <w:rFonts w:cs="Arial"/>
        </w:rPr>
        <w:t xml:space="preserve"> to improve the quality of private rented </w:t>
      </w:r>
      <w:r w:rsidR="00920656">
        <w:rPr>
          <w:rFonts w:cs="Arial"/>
        </w:rPr>
        <w:t xml:space="preserve">sector </w:t>
      </w:r>
      <w:r w:rsidR="009940CA">
        <w:rPr>
          <w:rFonts w:cs="Arial"/>
        </w:rPr>
        <w:t xml:space="preserve">housing and to </w:t>
      </w:r>
      <w:r w:rsidR="00F951B4">
        <w:rPr>
          <w:rFonts w:cs="Arial"/>
        </w:rPr>
        <w:t xml:space="preserve">understand the key challenges. </w:t>
      </w:r>
      <w:r w:rsidR="00043A7E">
        <w:rPr>
          <w:rFonts w:cs="Arial"/>
        </w:rPr>
        <w:t xml:space="preserve">The final report will be published in </w:t>
      </w:r>
      <w:r w:rsidR="009C6F23">
        <w:rPr>
          <w:rFonts w:cs="Arial"/>
        </w:rPr>
        <w:t>March</w:t>
      </w:r>
      <w:r w:rsidR="00043A7E">
        <w:rPr>
          <w:rFonts w:cs="Arial"/>
        </w:rPr>
        <w:t xml:space="preserve"> 2020.</w:t>
      </w:r>
    </w:p>
    <w:p w14:paraId="5DAD4610" w14:textId="40593D40" w:rsidR="00AB56A9" w:rsidRPr="00F951B4" w:rsidRDefault="00AB56A9" w:rsidP="00F951B4">
      <w:pPr>
        <w:rPr>
          <w:rFonts w:cs="Arial"/>
          <w:b/>
          <w:color w:val="000000"/>
          <w:lang w:eastAsia="en-GB"/>
        </w:rPr>
      </w:pPr>
      <w:r w:rsidRPr="00AB56A9">
        <w:rPr>
          <w:rFonts w:cs="Arial"/>
          <w:b/>
          <w:color w:val="000000"/>
          <w:lang w:eastAsia="en-GB"/>
        </w:rPr>
        <w:t>Homelessness</w:t>
      </w:r>
    </w:p>
    <w:p w14:paraId="058378F3" w14:textId="7646ED11" w:rsidR="00C16CAB" w:rsidRPr="00C16CAB" w:rsidRDefault="00AB56A9" w:rsidP="00C16CAB">
      <w:pPr>
        <w:pStyle w:val="ListParagraph"/>
        <w:numPr>
          <w:ilvl w:val="0"/>
          <w:numId w:val="7"/>
        </w:numPr>
        <w:rPr>
          <w:rFonts w:cs="Arial"/>
          <w:color w:val="000000"/>
          <w:lang w:eastAsia="en-GB"/>
        </w:rPr>
      </w:pPr>
      <w:r w:rsidRPr="00AB56A9">
        <w:rPr>
          <w:u w:val="single"/>
        </w:rPr>
        <w:t>Homelessness prevention project</w:t>
      </w:r>
      <w:r>
        <w:t xml:space="preserve"> – </w:t>
      </w:r>
      <w:r w:rsidR="00362650">
        <w:t>We have now received and are responding to sector feedback on our research into how central government can help councils to prevent homelessness, which is led by researchers at Heriot-Watt University’s I-SPHERE. The report is due for p</w:t>
      </w:r>
      <w:r w:rsidR="00C16CAB">
        <w:t xml:space="preserve">ublication </w:t>
      </w:r>
      <w:r w:rsidR="00362650">
        <w:t>following the pre-election period. In parallel, the LGA's cross-policy analysis of the fragmentation in central government funding is also nearing completion</w:t>
      </w:r>
      <w:r w:rsidR="008414D2">
        <w:t xml:space="preserve"> and will be published shortly.</w:t>
      </w:r>
    </w:p>
    <w:p w14:paraId="33E81A4A" w14:textId="77777777" w:rsidR="00C16CAB" w:rsidRPr="00C16CAB" w:rsidRDefault="00C16CAB" w:rsidP="00C16CAB">
      <w:pPr>
        <w:pStyle w:val="ListParagraph"/>
        <w:ind w:left="360"/>
        <w:rPr>
          <w:rFonts w:cs="Arial"/>
          <w:color w:val="000000"/>
          <w:lang w:eastAsia="en-GB"/>
        </w:rPr>
      </w:pPr>
    </w:p>
    <w:p w14:paraId="523E45BD" w14:textId="6C149ECE" w:rsidR="00C16CAB" w:rsidRPr="00C16CAB" w:rsidRDefault="00AB56A9" w:rsidP="00C16CAB">
      <w:pPr>
        <w:pStyle w:val="ListParagraph"/>
        <w:numPr>
          <w:ilvl w:val="0"/>
          <w:numId w:val="7"/>
        </w:numPr>
        <w:rPr>
          <w:rFonts w:cs="Arial"/>
          <w:color w:val="000000"/>
          <w:lang w:eastAsia="en-GB"/>
        </w:rPr>
      </w:pPr>
      <w:r w:rsidRPr="00C16CAB">
        <w:rPr>
          <w:u w:val="single"/>
        </w:rPr>
        <w:t>Out of area placements</w:t>
      </w:r>
      <w:r>
        <w:t xml:space="preserve"> – </w:t>
      </w:r>
      <w:r w:rsidR="00362650">
        <w:t xml:space="preserve">Following discussions at the previous </w:t>
      </w:r>
      <w:r w:rsidR="00B042DD">
        <w:t>B</w:t>
      </w:r>
      <w:r w:rsidR="00362650">
        <w:t xml:space="preserve">oard meeting, the LGA’s out of area placements protocol has undergone further development, including a proposed dispute resolution process. This work has been carried out by a steering group, comprised of local housing authorities and children's services, to develop an approach whereby the LGA could add value in supporting positive working between councils in a way that best supports families and services. The </w:t>
      </w:r>
      <w:r w:rsidR="00B042DD">
        <w:t xml:space="preserve">draft </w:t>
      </w:r>
      <w:r w:rsidR="00362650">
        <w:t xml:space="preserve">protocol is due to be </w:t>
      </w:r>
      <w:r w:rsidR="00C16CAB">
        <w:t>finalised in December, after</w:t>
      </w:r>
      <w:r w:rsidR="00362650">
        <w:t xml:space="preserve"> which the LGA will commission </w:t>
      </w:r>
      <w:r w:rsidR="00C16CAB">
        <w:t>legal advice to ensure it is compatible with the legislative framework and then formally consult with local authorities.</w:t>
      </w:r>
    </w:p>
    <w:p w14:paraId="1B97B301" w14:textId="77777777" w:rsidR="00C16CAB" w:rsidRPr="00C16CAB" w:rsidRDefault="00C16CAB" w:rsidP="00C16CAB">
      <w:pPr>
        <w:pStyle w:val="ListParagraph"/>
        <w:rPr>
          <w:u w:val="single"/>
        </w:rPr>
      </w:pPr>
    </w:p>
    <w:p w14:paraId="5AB29EB9" w14:textId="4A7D4B20" w:rsidR="00AB56A9" w:rsidRPr="00C16CAB" w:rsidRDefault="00AB56A9" w:rsidP="00C16CAB">
      <w:pPr>
        <w:pStyle w:val="ListParagraph"/>
        <w:numPr>
          <w:ilvl w:val="0"/>
          <w:numId w:val="7"/>
        </w:numPr>
        <w:rPr>
          <w:rFonts w:cs="Arial"/>
          <w:color w:val="000000"/>
          <w:lang w:eastAsia="en-GB"/>
        </w:rPr>
      </w:pPr>
      <w:r w:rsidRPr="00C16CAB">
        <w:rPr>
          <w:u w:val="single"/>
        </w:rPr>
        <w:t xml:space="preserve">Working well with the voluntary sector – </w:t>
      </w:r>
      <w:r w:rsidR="00C16CAB">
        <w:t>the LGA continues to work with Homeless Link to publish a short joint guidance note on how voluntary sector organisations can seek to work strategically with councils to tackle local homelessness issues. We will be holding a consultation event with members from both organisations in December 2019, and will publish the guidance shortly afterwards.</w:t>
      </w:r>
    </w:p>
    <w:p w14:paraId="11800663" w14:textId="77777777" w:rsidR="00AB56A9" w:rsidRPr="00AB56A9" w:rsidRDefault="00AB56A9" w:rsidP="00AB56A9">
      <w:pPr>
        <w:pStyle w:val="ListParagraph"/>
        <w:rPr>
          <w:u w:val="single"/>
        </w:rPr>
      </w:pPr>
    </w:p>
    <w:p w14:paraId="471693D5" w14:textId="1A01A41B" w:rsidR="00AB56A9" w:rsidRPr="000E67F0" w:rsidRDefault="00AB56A9" w:rsidP="00AB56A9">
      <w:pPr>
        <w:pStyle w:val="ListParagraph"/>
        <w:numPr>
          <w:ilvl w:val="0"/>
          <w:numId w:val="7"/>
        </w:numPr>
        <w:rPr>
          <w:rFonts w:cs="Arial"/>
          <w:color w:val="000000"/>
          <w:lang w:eastAsia="en-GB"/>
        </w:rPr>
      </w:pPr>
      <w:r w:rsidRPr="00AB56A9">
        <w:rPr>
          <w:u w:val="single"/>
        </w:rPr>
        <w:t xml:space="preserve">Local Homelessness Strategies – </w:t>
      </w:r>
      <w:r w:rsidR="00C16CAB">
        <w:t>our guidance for local authorities on formulating, delivering and governing local homelessness strategies will be published in December. This is intended to support local authorities, as well as inform Government work to reform the structures that support partnership working and accountabilities in homelessness.</w:t>
      </w:r>
    </w:p>
    <w:p w14:paraId="599A4B15" w14:textId="77777777" w:rsidR="000E67F0" w:rsidRPr="000E67F0" w:rsidRDefault="000E67F0" w:rsidP="000E67F0">
      <w:pPr>
        <w:pStyle w:val="ListParagraph"/>
        <w:rPr>
          <w:rFonts w:cs="Arial"/>
          <w:color w:val="000000"/>
          <w:lang w:eastAsia="en-GB"/>
        </w:rPr>
      </w:pPr>
    </w:p>
    <w:p w14:paraId="0430A799" w14:textId="77777777" w:rsidR="000E67F0" w:rsidRDefault="000E67F0" w:rsidP="000E67F0">
      <w:pPr>
        <w:pStyle w:val="ListParagraph"/>
        <w:ind w:left="360"/>
        <w:rPr>
          <w:rFonts w:cs="Arial"/>
          <w:color w:val="000000"/>
          <w:lang w:eastAsia="en-GB"/>
        </w:rPr>
      </w:pPr>
    </w:p>
    <w:p w14:paraId="6E1D2531" w14:textId="77777777" w:rsidR="00B042DD" w:rsidRDefault="00B042DD" w:rsidP="000E67F0">
      <w:pPr>
        <w:pStyle w:val="ListParagraph"/>
        <w:ind w:left="360"/>
        <w:rPr>
          <w:rFonts w:cs="Arial"/>
          <w:color w:val="000000"/>
          <w:lang w:eastAsia="en-GB"/>
        </w:rPr>
      </w:pPr>
    </w:p>
    <w:p w14:paraId="6F28B96A" w14:textId="77777777" w:rsidR="00B042DD" w:rsidRPr="000366E9" w:rsidRDefault="00B042DD" w:rsidP="000E67F0">
      <w:pPr>
        <w:pStyle w:val="ListParagraph"/>
        <w:ind w:left="360"/>
        <w:rPr>
          <w:rFonts w:cs="Arial"/>
          <w:color w:val="000000"/>
          <w:lang w:eastAsia="en-GB"/>
        </w:rPr>
      </w:pPr>
    </w:p>
    <w:p w14:paraId="3F2F06E1" w14:textId="4B7E0270" w:rsidR="00C16CAB" w:rsidRPr="00C16CAB" w:rsidRDefault="00C16CAB" w:rsidP="00BF15EE">
      <w:pPr>
        <w:spacing w:after="0"/>
        <w:rPr>
          <w:rFonts w:cs="Arial"/>
          <w:b/>
          <w:color w:val="000000"/>
          <w:lang w:eastAsia="en-GB"/>
        </w:rPr>
      </w:pPr>
      <w:r w:rsidRPr="00C16CAB">
        <w:rPr>
          <w:rFonts w:cs="Arial"/>
          <w:b/>
          <w:color w:val="000000"/>
          <w:lang w:eastAsia="en-GB"/>
        </w:rPr>
        <w:lastRenderedPageBreak/>
        <w:t>Building safety</w:t>
      </w:r>
    </w:p>
    <w:p w14:paraId="5651E1E5" w14:textId="77777777" w:rsidR="00C16CAB" w:rsidRPr="00C16CAB" w:rsidRDefault="00C16CAB" w:rsidP="00C16CAB">
      <w:pPr>
        <w:pStyle w:val="ListParagraph"/>
        <w:rPr>
          <w:u w:val="single"/>
        </w:rPr>
      </w:pPr>
    </w:p>
    <w:p w14:paraId="16979FFD" w14:textId="0A028214" w:rsidR="00C16CAB" w:rsidRPr="00C16CAB" w:rsidRDefault="00C16CAB" w:rsidP="00C16CAB">
      <w:pPr>
        <w:pStyle w:val="ListParagraph"/>
        <w:numPr>
          <w:ilvl w:val="0"/>
          <w:numId w:val="7"/>
        </w:numPr>
        <w:rPr>
          <w:rFonts w:cs="Arial"/>
          <w:color w:val="000000"/>
          <w:lang w:eastAsia="en-GB"/>
        </w:rPr>
      </w:pPr>
      <w:proofErr w:type="spellStart"/>
      <w:r w:rsidRPr="00C16CAB">
        <w:rPr>
          <w:u w:val="single"/>
        </w:rPr>
        <w:t>Hackitt</w:t>
      </w:r>
      <w:proofErr w:type="spellEnd"/>
      <w:r w:rsidRPr="00C16CAB">
        <w:rPr>
          <w:u w:val="single"/>
        </w:rPr>
        <w:t xml:space="preserve"> Review</w:t>
      </w:r>
      <w:r>
        <w:t xml:space="preserve"> – We continue to work with the National Fire Chiefs Council, Local Authority Building Control, and the Health and Safety Executive to advise Government on detailed proposals, as part of our role in the Joint Regulators Group. In particular, we are lobbying the Government to ensure that the views of local building safety enforcement agents are taken into account when devising the form of the new building safety regulator. Government </w:t>
      </w:r>
      <w:r w:rsidR="00B042DD">
        <w:t>is expected</w:t>
      </w:r>
      <w:r>
        <w:t xml:space="preserve"> to respond to the “Building a Safer Future” consultation by the end of the year and to legislate at the earliest opportunity.</w:t>
      </w:r>
      <w:r w:rsidR="008975ED">
        <w:t xml:space="preserve"> In our response to the Building a Safer Future consultation, we highlighted the need for any new regulatory framework to consider the safety of buildings under 18m. We continue to engage with partners on this issue</w:t>
      </w:r>
    </w:p>
    <w:p w14:paraId="4D0AD558" w14:textId="77777777" w:rsidR="00C16CAB" w:rsidRPr="00C16CAB" w:rsidRDefault="00C16CAB" w:rsidP="00C16CAB">
      <w:pPr>
        <w:pStyle w:val="ListParagraph"/>
        <w:ind w:left="360"/>
        <w:rPr>
          <w:rFonts w:cs="Arial"/>
          <w:color w:val="000000"/>
          <w:lang w:eastAsia="en-GB"/>
        </w:rPr>
      </w:pPr>
    </w:p>
    <w:p w14:paraId="5108AD42" w14:textId="77777777" w:rsidR="00C16CAB" w:rsidRPr="00C16CAB" w:rsidRDefault="00C16CAB" w:rsidP="00C16CAB">
      <w:pPr>
        <w:pStyle w:val="ListParagraph"/>
        <w:numPr>
          <w:ilvl w:val="0"/>
          <w:numId w:val="7"/>
        </w:numPr>
        <w:rPr>
          <w:rFonts w:cs="Arial"/>
          <w:color w:val="000000"/>
          <w:lang w:eastAsia="en-GB"/>
        </w:rPr>
      </w:pPr>
      <w:r w:rsidRPr="00C16CAB">
        <w:rPr>
          <w:u w:val="single"/>
        </w:rPr>
        <w:t>Remediation work</w:t>
      </w:r>
      <w:r>
        <w:t xml:space="preserve"> – work of the Joint Inspection Team commenced in August and is ongoing, with four inspections having taken place so far. This is the LGA-hosted, MHCLG-funded multi-disciplinary taskforce which is supporting councils to enforce the removal of ACM cladding. The deadline for private sector building owners to apply for ACM remediation funding (made available by government in May 2019) is 31 December. The fire in student accommodation in Bolton took place in a block clad with High Pressure Laminate panels; the LGA continues to call for MHCLG to provide funding for the removal of dangerous non-ACM cladding.</w:t>
      </w:r>
    </w:p>
    <w:p w14:paraId="6EEB6BBD" w14:textId="77777777" w:rsidR="00C16CAB" w:rsidRPr="00C16CAB" w:rsidRDefault="00C16CAB" w:rsidP="00C16CAB">
      <w:pPr>
        <w:pStyle w:val="ListParagraph"/>
        <w:rPr>
          <w:u w:val="single"/>
        </w:rPr>
      </w:pPr>
    </w:p>
    <w:p w14:paraId="3BA1E0A5" w14:textId="0623580D" w:rsidR="00C16CAB" w:rsidRPr="00C16CAB" w:rsidRDefault="00C16CAB" w:rsidP="00C16CAB">
      <w:pPr>
        <w:pStyle w:val="ListParagraph"/>
        <w:numPr>
          <w:ilvl w:val="0"/>
          <w:numId w:val="7"/>
        </w:numPr>
        <w:rPr>
          <w:rFonts w:cs="Arial"/>
          <w:color w:val="000000"/>
          <w:lang w:eastAsia="en-GB"/>
        </w:rPr>
      </w:pPr>
      <w:r w:rsidRPr="00C16CAB">
        <w:rPr>
          <w:u w:val="single"/>
        </w:rPr>
        <w:t xml:space="preserve">Grenfell inquiry – </w:t>
      </w:r>
      <w:r>
        <w:t xml:space="preserve">The independent inquiry into the Grenfell Tower fire published its phase 1 report on Thursday 30 October, which focuses on the night of the fire. The LGA issued a statement in response, which emphasises that there are important lessons for the fire brigade nationally and London Fire Brigade individually to learn from the fire, whilst arguing that the </w:t>
      </w:r>
      <w:r w:rsidR="00B042DD">
        <w:t>inquiry</w:t>
      </w:r>
      <w:r>
        <w:t xml:space="preserve"> had made an error by focusing on the fire brigade’s response to the fire before examining the fire’s causes.</w:t>
      </w:r>
    </w:p>
    <w:p w14:paraId="2BD28FE5" w14:textId="77777777" w:rsidR="008D0B5A" w:rsidRPr="008D0B5A" w:rsidRDefault="008D0B5A" w:rsidP="008D0B5A">
      <w:pPr>
        <w:rPr>
          <w:rFonts w:cs="Arial"/>
          <w:b/>
        </w:rPr>
      </w:pPr>
      <w:r w:rsidRPr="008D0B5A">
        <w:rPr>
          <w:rFonts w:cs="Arial"/>
          <w:b/>
        </w:rPr>
        <w:t xml:space="preserve">Housing Improvement </w:t>
      </w:r>
    </w:p>
    <w:p w14:paraId="47E6FC76" w14:textId="7983FD8F" w:rsidR="00D56C0B" w:rsidRPr="00D56C0B" w:rsidRDefault="008D0B5A" w:rsidP="00D56C0B">
      <w:pPr>
        <w:pStyle w:val="ListParagraph"/>
        <w:numPr>
          <w:ilvl w:val="0"/>
          <w:numId w:val="7"/>
        </w:numPr>
        <w:rPr>
          <w:rFonts w:cs="Arial"/>
          <w:lang w:val="en"/>
        </w:rPr>
      </w:pPr>
      <w:r w:rsidRPr="001340CC">
        <w:rPr>
          <w:rFonts w:cs="Arial"/>
          <w:u w:val="single"/>
        </w:rPr>
        <w:t xml:space="preserve">Housing Adviser Programme </w:t>
      </w:r>
      <w:r w:rsidR="00F33351" w:rsidRPr="001340CC">
        <w:rPr>
          <w:rFonts w:cs="Arial"/>
          <w:u w:val="single"/>
        </w:rPr>
        <w:t xml:space="preserve">(HAP) </w:t>
      </w:r>
      <w:r w:rsidRPr="001340CC">
        <w:rPr>
          <w:rFonts w:cs="Arial"/>
          <w:u w:val="single"/>
        </w:rPr>
        <w:t>update</w:t>
      </w:r>
      <w:r w:rsidRPr="001340CC">
        <w:rPr>
          <w:rFonts w:cs="Arial"/>
        </w:rPr>
        <w:t xml:space="preserve"> </w:t>
      </w:r>
      <w:r w:rsidR="00D56C0B">
        <w:rPr>
          <w:rFonts w:cs="Arial"/>
        </w:rPr>
        <w:t>–</w:t>
      </w:r>
      <w:r w:rsidRPr="001340CC">
        <w:rPr>
          <w:rFonts w:cs="Arial"/>
        </w:rPr>
        <w:t xml:space="preserve"> </w:t>
      </w:r>
      <w:r w:rsidR="00900BAB">
        <w:rPr>
          <w:rFonts w:cs="Arial"/>
        </w:rPr>
        <w:t>the</w:t>
      </w:r>
      <w:r w:rsidR="00900BAB">
        <w:t xml:space="preserve"> 20</w:t>
      </w:r>
      <w:r w:rsidR="00C16CAB">
        <w:t xml:space="preserve">19/20 programme is now funding </w:t>
      </w:r>
      <w:r w:rsidR="00900BAB">
        <w:t xml:space="preserve">19 successful projects, supporting more than 80 councils to meet their local housing need via direct grant funding through which councils can secure specialist expertise. </w:t>
      </w:r>
      <w:r w:rsidR="00C16CAB">
        <w:t>A series of c</w:t>
      </w:r>
      <w:r w:rsidR="00900BAB">
        <w:t>ase studies from the 2018/19 projects are</w:t>
      </w:r>
      <w:r w:rsidR="00C16CAB">
        <w:t xml:space="preserve"> now available on the LGA website.</w:t>
      </w:r>
    </w:p>
    <w:p w14:paraId="03702485" w14:textId="77777777" w:rsidR="00D56C0B" w:rsidRDefault="00D56C0B" w:rsidP="00D56C0B">
      <w:pPr>
        <w:pStyle w:val="ListParagraph"/>
        <w:ind w:left="360"/>
      </w:pPr>
    </w:p>
    <w:p w14:paraId="0035BA24" w14:textId="76232FBA" w:rsidR="00AB56A9" w:rsidRDefault="00D56C0B" w:rsidP="00AB56A9">
      <w:pPr>
        <w:pStyle w:val="ListParagraph"/>
        <w:numPr>
          <w:ilvl w:val="0"/>
          <w:numId w:val="7"/>
        </w:numPr>
      </w:pPr>
      <w:r w:rsidRPr="00D56C0B">
        <w:rPr>
          <w:u w:val="single"/>
        </w:rPr>
        <w:t>Housing Springboard programme</w:t>
      </w:r>
      <w:r>
        <w:t xml:space="preserve"> – </w:t>
      </w:r>
      <w:r w:rsidR="00362650">
        <w:t xml:space="preserve">this </w:t>
      </w:r>
      <w:r>
        <w:t>programme</w:t>
      </w:r>
      <w:r w:rsidR="00362650">
        <w:t xml:space="preserve"> developed and delivered by the Housing &amp; Finance Institute, and sponsored by the LGA</w:t>
      </w:r>
      <w:r w:rsidR="00C16CAB">
        <w:t>,</w:t>
      </w:r>
      <w:r w:rsidR="00362650">
        <w:t xml:space="preserve"> </w:t>
      </w:r>
      <w:r w:rsidR="00B417E7">
        <w:t>held its first session on</w:t>
      </w:r>
      <w:r w:rsidR="00362650">
        <w:t xml:space="preserve"> 9 December. It </w:t>
      </w:r>
      <w:r w:rsidR="00362650" w:rsidRPr="00C16CAB">
        <w:t xml:space="preserve">is designed to meet the needs of councils that have the appetite and ambition to shape the delivery of homes for their area, and who recognise that getting support will deliver results faster. </w:t>
      </w:r>
      <w:r w:rsidR="00B417E7">
        <w:t>Throughout the programme, c</w:t>
      </w:r>
      <w:r w:rsidR="00362650" w:rsidRPr="00C16CAB">
        <w:t>ouncils will have the opportunity to present and get tips from experts in their field, including investors, professional services, housebuilders and others. </w:t>
      </w:r>
      <w:r>
        <w:t xml:space="preserve"> </w:t>
      </w:r>
    </w:p>
    <w:p w14:paraId="63506F53" w14:textId="77777777" w:rsidR="00AD1999" w:rsidRDefault="00AD1999" w:rsidP="00AD1999">
      <w:pPr>
        <w:pStyle w:val="ListParagraph"/>
      </w:pPr>
    </w:p>
    <w:p w14:paraId="383EFBD8" w14:textId="3B48E21C" w:rsidR="00AD1999" w:rsidRDefault="00AD1999" w:rsidP="00AB56A9">
      <w:pPr>
        <w:pStyle w:val="ListParagraph"/>
        <w:numPr>
          <w:ilvl w:val="0"/>
          <w:numId w:val="7"/>
        </w:numPr>
      </w:pPr>
      <w:r>
        <w:rPr>
          <w:u w:val="single"/>
        </w:rPr>
        <w:lastRenderedPageBreak/>
        <w:t xml:space="preserve">Leadership essentials </w:t>
      </w:r>
      <w:r>
        <w:t xml:space="preserve">– the LGA ran its first leadership essentials programme focusing on homelessness on 5 and 6 December 2019. It was aimed at leaders, deputy leaders, and relevant portfolio holders, and was designed to support political leadership in reducing the risks and levels of homelessness in local areas. </w:t>
      </w:r>
    </w:p>
    <w:p w14:paraId="66DB9AB6" w14:textId="77777777" w:rsidR="00697CE7" w:rsidRPr="00697CE7" w:rsidRDefault="00697CE7" w:rsidP="00AD1999">
      <w:pPr>
        <w:ind w:left="0" w:firstLine="0"/>
        <w:rPr>
          <w:rFonts w:cs="Arial"/>
          <w:b/>
          <w:color w:val="000000"/>
          <w:lang w:eastAsia="en-GB"/>
        </w:rPr>
      </w:pPr>
      <w:r w:rsidRPr="00697CE7">
        <w:rPr>
          <w:rFonts w:cs="Arial"/>
          <w:b/>
          <w:color w:val="000000"/>
          <w:lang w:eastAsia="en-GB"/>
        </w:rPr>
        <w:t>Press releases and statements</w:t>
      </w:r>
    </w:p>
    <w:p w14:paraId="11CB1901" w14:textId="6DDF35FD" w:rsidR="00697CE7" w:rsidRDefault="00697CE7" w:rsidP="00AB56A9">
      <w:pPr>
        <w:pStyle w:val="ListParagraph"/>
        <w:numPr>
          <w:ilvl w:val="0"/>
          <w:numId w:val="7"/>
        </w:numPr>
        <w:rPr>
          <w:rFonts w:cs="Arial"/>
          <w:color w:val="000000"/>
          <w:lang w:eastAsia="en-GB"/>
        </w:rPr>
      </w:pPr>
      <w:r>
        <w:rPr>
          <w:rFonts w:cs="Arial"/>
          <w:color w:val="000000"/>
          <w:lang w:eastAsia="en-GB"/>
        </w:rPr>
        <w:t>We have issued proactive press releases</w:t>
      </w:r>
      <w:r w:rsidR="00D34DDB">
        <w:rPr>
          <w:rFonts w:cs="Arial"/>
          <w:color w:val="000000"/>
          <w:lang w:eastAsia="en-GB"/>
        </w:rPr>
        <w:t xml:space="preserve"> on the following: </w:t>
      </w:r>
      <w:hyperlink r:id="rId12" w:history="1">
        <w:r w:rsidR="00D34DDB" w:rsidRPr="00D34DDB">
          <w:rPr>
            <w:rStyle w:val="Hyperlink"/>
            <w:rFonts w:cs="Arial"/>
            <w:lang w:eastAsia="en-GB"/>
          </w:rPr>
          <w:t>successful applicants for LGA Housing Advisers Programme announced</w:t>
        </w:r>
      </w:hyperlink>
    </w:p>
    <w:p w14:paraId="378AE985" w14:textId="77777777" w:rsidR="00697CE7" w:rsidRDefault="00697CE7" w:rsidP="00697CE7">
      <w:pPr>
        <w:pStyle w:val="ListParagraph"/>
        <w:ind w:left="360"/>
        <w:rPr>
          <w:rFonts w:cs="Arial"/>
          <w:color w:val="000000"/>
          <w:lang w:eastAsia="en-GB"/>
        </w:rPr>
      </w:pPr>
    </w:p>
    <w:p w14:paraId="672D68F5" w14:textId="52BF7022" w:rsidR="00697CE7" w:rsidRPr="00697CE7" w:rsidRDefault="00697CE7" w:rsidP="00697CE7">
      <w:pPr>
        <w:pStyle w:val="ListParagraph"/>
        <w:numPr>
          <w:ilvl w:val="0"/>
          <w:numId w:val="7"/>
        </w:numPr>
        <w:rPr>
          <w:rFonts w:cs="Arial"/>
          <w:color w:val="000000"/>
          <w:lang w:eastAsia="en-GB"/>
        </w:rPr>
      </w:pPr>
      <w:r>
        <w:rPr>
          <w:rFonts w:cs="Arial"/>
          <w:color w:val="000000"/>
          <w:lang w:eastAsia="en-GB"/>
        </w:rPr>
        <w:t xml:space="preserve">We have also made public statements on the following: </w:t>
      </w:r>
      <w:hyperlink r:id="rId13" w:history="1">
        <w:r w:rsidR="007927F8" w:rsidRPr="007927F8">
          <w:rPr>
            <w:rStyle w:val="Hyperlink"/>
            <w:rFonts w:cs="Arial"/>
            <w:lang w:eastAsia="en-GB"/>
          </w:rPr>
          <w:t>responding to launch of new accessible homes coalition</w:t>
        </w:r>
      </w:hyperlink>
      <w:r w:rsidR="007927F8">
        <w:rPr>
          <w:rFonts w:cs="Arial"/>
          <w:color w:val="000000"/>
          <w:lang w:eastAsia="en-GB"/>
        </w:rPr>
        <w:t xml:space="preserve">; </w:t>
      </w:r>
      <w:hyperlink r:id="rId14" w:history="1">
        <w:r w:rsidR="00D34DDB" w:rsidRPr="00D34DDB">
          <w:rPr>
            <w:rStyle w:val="Hyperlink"/>
            <w:rFonts w:cs="Arial"/>
            <w:lang w:eastAsia="en-GB"/>
          </w:rPr>
          <w:t>Queen’s Speech: LGA responds to Building Safety Bill</w:t>
        </w:r>
      </w:hyperlink>
      <w:r w:rsidR="00D34DDB">
        <w:rPr>
          <w:rFonts w:cs="Arial"/>
          <w:color w:val="000000"/>
          <w:lang w:eastAsia="en-GB"/>
        </w:rPr>
        <w:t xml:space="preserve">. </w:t>
      </w:r>
    </w:p>
    <w:p w14:paraId="54207072" w14:textId="77777777" w:rsidR="00D96F85" w:rsidRPr="00D96F85" w:rsidRDefault="00D96F85" w:rsidP="00697CE7">
      <w:pPr>
        <w:rPr>
          <w:rFonts w:cs="Arial"/>
          <w:b/>
          <w:color w:val="000000"/>
          <w:lang w:eastAsia="en-GB"/>
        </w:rPr>
      </w:pPr>
    </w:p>
    <w:p w14:paraId="7B869F66" w14:textId="77777777" w:rsidR="00697CE7" w:rsidRPr="00697CE7" w:rsidRDefault="00697CE7" w:rsidP="00697CE7">
      <w:pPr>
        <w:rPr>
          <w:rFonts w:cs="Arial"/>
          <w:color w:val="000000"/>
          <w:lang w:eastAsia="en-GB"/>
        </w:rPr>
      </w:pPr>
    </w:p>
    <w:p w14:paraId="769E1206" w14:textId="77777777" w:rsidR="00AB56A9" w:rsidRPr="00D56C0B" w:rsidRDefault="00AB56A9" w:rsidP="00AB56A9">
      <w:pPr>
        <w:pStyle w:val="ListParagraph"/>
        <w:ind w:left="360"/>
      </w:pPr>
    </w:p>
    <w:p w14:paraId="292667B1" w14:textId="77777777" w:rsidR="00EE3D74" w:rsidRPr="00EE3D74" w:rsidRDefault="00EE3D74" w:rsidP="008D0B5A">
      <w:pPr>
        <w:pStyle w:val="ListParagraph"/>
        <w:ind w:left="360"/>
        <w:rPr>
          <w:lang w:val="en"/>
        </w:rPr>
      </w:pPr>
    </w:p>
    <w:p w14:paraId="4164C05A" w14:textId="77777777" w:rsidR="009B6F95" w:rsidRPr="00C803F3" w:rsidRDefault="009B6F95"/>
    <w:sectPr w:rsidR="009B6F95" w:rsidRPr="00C803F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E0DE" w14:textId="77777777" w:rsidR="009940CA" w:rsidRPr="00C803F3" w:rsidRDefault="009940CA" w:rsidP="00C803F3">
      <w:r>
        <w:separator/>
      </w:r>
    </w:p>
  </w:endnote>
  <w:endnote w:type="continuationSeparator" w:id="0">
    <w:p w14:paraId="6A1A47C1" w14:textId="77777777" w:rsidR="009940CA" w:rsidRPr="00C803F3" w:rsidRDefault="009940C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D2CE" w14:textId="77777777" w:rsidR="009940CA" w:rsidRPr="00C803F3" w:rsidRDefault="009940CA" w:rsidP="00C803F3">
      <w:r>
        <w:separator/>
      </w:r>
    </w:p>
  </w:footnote>
  <w:footnote w:type="continuationSeparator" w:id="0">
    <w:p w14:paraId="6F13AE6E" w14:textId="77777777" w:rsidR="009940CA" w:rsidRPr="00C803F3" w:rsidRDefault="009940C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4FF7" w14:textId="77777777" w:rsidR="009940CA" w:rsidRDefault="009940C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940CA" w:rsidRPr="00C25CA7" w14:paraId="5E6C69E6" w14:textId="77777777" w:rsidTr="000F69FB">
      <w:trPr>
        <w:trHeight w:val="416"/>
      </w:trPr>
      <w:tc>
        <w:tcPr>
          <w:tcW w:w="5812" w:type="dxa"/>
          <w:vMerge w:val="restart"/>
        </w:tcPr>
        <w:p w14:paraId="0FE7B25E" w14:textId="77777777" w:rsidR="009940CA" w:rsidRPr="00C803F3" w:rsidRDefault="009940CA" w:rsidP="00C803F3">
          <w:r w:rsidRPr="00C803F3">
            <w:rPr>
              <w:noProof/>
              <w:lang w:eastAsia="en-GB"/>
            </w:rPr>
            <w:drawing>
              <wp:inline distT="0" distB="0" distL="0" distR="0" wp14:anchorId="750B32F4" wp14:editId="49AEB5E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46B26863" w14:textId="2D657539" w:rsidR="009940CA" w:rsidRDefault="009940CA" w:rsidP="009B1ED4">
              <w:pPr>
                <w:ind w:left="0" w:firstLine="0"/>
                <w:rPr>
                  <w:b/>
                </w:rPr>
              </w:pPr>
              <w:r w:rsidRPr="009B1ED4">
                <w:rPr>
                  <w:b/>
                </w:rPr>
                <w:t>Environment, Economy, Housing &amp; Transport Board</w:t>
              </w:r>
            </w:p>
            <w:p w14:paraId="455B6632" w14:textId="77777777" w:rsidR="009940CA" w:rsidRPr="009B1ED4" w:rsidRDefault="009940CA" w:rsidP="009B1ED4">
              <w:pPr>
                <w:ind w:left="0" w:firstLine="0"/>
                <w:rPr>
                  <w:b/>
                </w:rPr>
              </w:pPr>
            </w:p>
          </w:tc>
        </w:sdtContent>
      </w:sdt>
    </w:tr>
    <w:tr w:rsidR="009940CA" w14:paraId="284F4C2B" w14:textId="77777777" w:rsidTr="000F69FB">
      <w:trPr>
        <w:trHeight w:val="406"/>
      </w:trPr>
      <w:tc>
        <w:tcPr>
          <w:tcW w:w="5812" w:type="dxa"/>
          <w:vMerge/>
        </w:tcPr>
        <w:p w14:paraId="00277F50" w14:textId="77777777" w:rsidR="009940CA" w:rsidRPr="00A627DD" w:rsidRDefault="009940CA" w:rsidP="00C803F3"/>
      </w:tc>
      <w:tc>
        <w:tcPr>
          <w:tcW w:w="4106" w:type="dxa"/>
        </w:tcPr>
        <w:sdt>
          <w:sdtPr>
            <w:alias w:val="Date"/>
            <w:tag w:val="Date"/>
            <w:id w:val="-488943452"/>
            <w:placeholder>
              <w:docPart w:val="DC36D9B85A214F14AB68618A90760C36"/>
            </w:placeholder>
            <w:date w:fullDate="2019-12-18T00:00:00Z">
              <w:dateFormat w:val="dd MMMM yyyy"/>
              <w:lid w:val="en-GB"/>
              <w:storeMappedDataAs w:val="dateTime"/>
              <w:calendar w:val="gregorian"/>
            </w:date>
          </w:sdtPr>
          <w:sdtEndPr/>
          <w:sdtContent>
            <w:p w14:paraId="064BE2FA" w14:textId="38F8AED7" w:rsidR="009940CA" w:rsidRPr="00C803F3" w:rsidRDefault="00BA7C88" w:rsidP="00BA7C88">
              <w:pPr>
                <w:ind w:left="0" w:firstLine="0"/>
              </w:pPr>
              <w:r>
                <w:t>18 December 2019</w:t>
              </w:r>
            </w:p>
          </w:sdtContent>
        </w:sdt>
      </w:tc>
    </w:tr>
    <w:tr w:rsidR="009940CA" w:rsidRPr="00C25CA7" w14:paraId="6227DF89" w14:textId="77777777" w:rsidTr="000F69FB">
      <w:trPr>
        <w:trHeight w:val="89"/>
      </w:trPr>
      <w:tc>
        <w:tcPr>
          <w:tcW w:w="5812" w:type="dxa"/>
          <w:vMerge/>
        </w:tcPr>
        <w:p w14:paraId="0529CA14" w14:textId="77777777" w:rsidR="009940CA" w:rsidRPr="00A627DD" w:rsidRDefault="009940CA" w:rsidP="00C803F3"/>
      </w:tc>
      <w:tc>
        <w:tcPr>
          <w:tcW w:w="4106" w:type="dxa"/>
        </w:tcPr>
        <w:sdt>
          <w:sdtPr>
            <w:alias w:val="Item no."/>
            <w:tag w:val="Item no."/>
            <w:id w:val="-624237752"/>
            <w:placeholder>
              <w:docPart w:val="E82C81CF1FFA4ABEBE434B5B73B7C3E5"/>
            </w:placeholder>
          </w:sdtPr>
          <w:sdtEndPr/>
          <w:sdtContent>
            <w:p w14:paraId="2F3A1441" w14:textId="77777777" w:rsidR="009940CA" w:rsidRPr="00C803F3" w:rsidRDefault="009940CA" w:rsidP="008D0B5A">
              <w:r>
                <w:t xml:space="preserve">  </w:t>
              </w:r>
            </w:p>
          </w:sdtContent>
        </w:sdt>
      </w:tc>
    </w:tr>
  </w:tbl>
  <w:p w14:paraId="2EB76BC4" w14:textId="77777777" w:rsidR="009940CA" w:rsidRDefault="00994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5AB6CD8"/>
    <w:multiLevelType w:val="multilevel"/>
    <w:tmpl w:val="C0E24E9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F1273B"/>
    <w:multiLevelType w:val="multilevel"/>
    <w:tmpl w:val="BB3C8A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160BE1"/>
    <w:multiLevelType w:val="multilevel"/>
    <w:tmpl w:val="5BECF80A"/>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08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5600C"/>
    <w:multiLevelType w:val="hybridMultilevel"/>
    <w:tmpl w:val="DBF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C1416"/>
    <w:multiLevelType w:val="hybridMultilevel"/>
    <w:tmpl w:val="A3A2E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A07CBB"/>
    <w:multiLevelType w:val="hybridMultilevel"/>
    <w:tmpl w:val="D866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B5653"/>
    <w:multiLevelType w:val="multilevel"/>
    <w:tmpl w:val="55AC128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6B3F4D"/>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215610"/>
    <w:multiLevelType w:val="multilevel"/>
    <w:tmpl w:val="24C4BDD8"/>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585104"/>
    <w:multiLevelType w:val="multilevel"/>
    <w:tmpl w:val="19FC5120"/>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2E2D05"/>
    <w:multiLevelType w:val="multilevel"/>
    <w:tmpl w:val="E75A2CF2"/>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B826AF"/>
    <w:multiLevelType w:val="hybridMultilevel"/>
    <w:tmpl w:val="8D100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8A03EE"/>
    <w:multiLevelType w:val="multilevel"/>
    <w:tmpl w:val="54A22B2C"/>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023ED2"/>
    <w:multiLevelType w:val="multilevel"/>
    <w:tmpl w:val="77F22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464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5"/>
  </w:num>
  <w:num w:numId="4">
    <w:abstractNumId w:val="6"/>
  </w:num>
  <w:num w:numId="5">
    <w:abstractNumId w:val="9"/>
  </w:num>
  <w:num w:numId="6">
    <w:abstractNumId w:val="20"/>
  </w:num>
  <w:num w:numId="7">
    <w:abstractNumId w:val="19"/>
  </w:num>
  <w:num w:numId="8">
    <w:abstractNumId w:val="18"/>
  </w:num>
  <w:num w:numId="9">
    <w:abstractNumId w:val="13"/>
  </w:num>
  <w:num w:numId="10">
    <w:abstractNumId w:val="3"/>
  </w:num>
  <w:num w:numId="11">
    <w:abstractNumId w:val="16"/>
  </w:num>
  <w:num w:numId="12">
    <w:abstractNumId w:val="12"/>
  </w:num>
  <w:num w:numId="13">
    <w:abstractNumId w:val="14"/>
  </w:num>
  <w:num w:numId="14">
    <w:abstractNumId w:val="11"/>
  </w:num>
  <w:num w:numId="15">
    <w:abstractNumId w:val="10"/>
  </w:num>
  <w:num w:numId="16">
    <w:abstractNumId w:val="1"/>
  </w:num>
  <w:num w:numId="17">
    <w:abstractNumId w:val="2"/>
  </w:num>
  <w:num w:numId="18">
    <w:abstractNumId w:val="7"/>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505F"/>
    <w:rsid w:val="000366E9"/>
    <w:rsid w:val="00043A7E"/>
    <w:rsid w:val="00045008"/>
    <w:rsid w:val="0004797E"/>
    <w:rsid w:val="00065EE6"/>
    <w:rsid w:val="00073FFC"/>
    <w:rsid w:val="00094D0D"/>
    <w:rsid w:val="000B786A"/>
    <w:rsid w:val="000D2D44"/>
    <w:rsid w:val="000E67F0"/>
    <w:rsid w:val="000F69FB"/>
    <w:rsid w:val="001340CC"/>
    <w:rsid w:val="00165189"/>
    <w:rsid w:val="00177396"/>
    <w:rsid w:val="00197EBA"/>
    <w:rsid w:val="001B36CE"/>
    <w:rsid w:val="00213189"/>
    <w:rsid w:val="00230718"/>
    <w:rsid w:val="00233AA5"/>
    <w:rsid w:val="00233F22"/>
    <w:rsid w:val="00241C72"/>
    <w:rsid w:val="002539E9"/>
    <w:rsid w:val="00254BD8"/>
    <w:rsid w:val="002603C2"/>
    <w:rsid w:val="00261E75"/>
    <w:rsid w:val="00270318"/>
    <w:rsid w:val="00270C35"/>
    <w:rsid w:val="002B2599"/>
    <w:rsid w:val="002C28F3"/>
    <w:rsid w:val="00301A51"/>
    <w:rsid w:val="00350081"/>
    <w:rsid w:val="00362650"/>
    <w:rsid w:val="0037289B"/>
    <w:rsid w:val="003B46A3"/>
    <w:rsid w:val="003D59EF"/>
    <w:rsid w:val="003F6306"/>
    <w:rsid w:val="00401EE0"/>
    <w:rsid w:val="00402CDD"/>
    <w:rsid w:val="00403D04"/>
    <w:rsid w:val="004134D2"/>
    <w:rsid w:val="004320FB"/>
    <w:rsid w:val="00446585"/>
    <w:rsid w:val="0047721A"/>
    <w:rsid w:val="004912D9"/>
    <w:rsid w:val="004B7A4A"/>
    <w:rsid w:val="004C243A"/>
    <w:rsid w:val="004C480A"/>
    <w:rsid w:val="004F742A"/>
    <w:rsid w:val="00511481"/>
    <w:rsid w:val="00525DC0"/>
    <w:rsid w:val="005322AB"/>
    <w:rsid w:val="005559E6"/>
    <w:rsid w:val="00563423"/>
    <w:rsid w:val="00567F7D"/>
    <w:rsid w:val="0057309B"/>
    <w:rsid w:val="00643F1F"/>
    <w:rsid w:val="00670F9E"/>
    <w:rsid w:val="00691B8D"/>
    <w:rsid w:val="00697CE7"/>
    <w:rsid w:val="006A7A0E"/>
    <w:rsid w:val="006A7D22"/>
    <w:rsid w:val="006E3897"/>
    <w:rsid w:val="006E759A"/>
    <w:rsid w:val="006F0072"/>
    <w:rsid w:val="006F5852"/>
    <w:rsid w:val="00705383"/>
    <w:rsid w:val="007065A5"/>
    <w:rsid w:val="007068AD"/>
    <w:rsid w:val="00712C86"/>
    <w:rsid w:val="00742E6C"/>
    <w:rsid w:val="00750D3E"/>
    <w:rsid w:val="007622BA"/>
    <w:rsid w:val="00777398"/>
    <w:rsid w:val="007927F8"/>
    <w:rsid w:val="00795C95"/>
    <w:rsid w:val="007A7C5F"/>
    <w:rsid w:val="0080661C"/>
    <w:rsid w:val="00822696"/>
    <w:rsid w:val="008414D2"/>
    <w:rsid w:val="00845056"/>
    <w:rsid w:val="00885882"/>
    <w:rsid w:val="00891AE9"/>
    <w:rsid w:val="008975ED"/>
    <w:rsid w:val="008B04D0"/>
    <w:rsid w:val="008B404B"/>
    <w:rsid w:val="008D0B5A"/>
    <w:rsid w:val="008E08CF"/>
    <w:rsid w:val="008E43DC"/>
    <w:rsid w:val="00900BAB"/>
    <w:rsid w:val="009137FF"/>
    <w:rsid w:val="00920656"/>
    <w:rsid w:val="009308D9"/>
    <w:rsid w:val="00937CE9"/>
    <w:rsid w:val="00941205"/>
    <w:rsid w:val="009449FB"/>
    <w:rsid w:val="00947830"/>
    <w:rsid w:val="00982967"/>
    <w:rsid w:val="0098374E"/>
    <w:rsid w:val="00990025"/>
    <w:rsid w:val="009940CA"/>
    <w:rsid w:val="00997641"/>
    <w:rsid w:val="009A6D71"/>
    <w:rsid w:val="009B1AA8"/>
    <w:rsid w:val="009B1ED4"/>
    <w:rsid w:val="009B3E88"/>
    <w:rsid w:val="009B67D5"/>
    <w:rsid w:val="009B6F95"/>
    <w:rsid w:val="009C182F"/>
    <w:rsid w:val="009C30E4"/>
    <w:rsid w:val="009C6F23"/>
    <w:rsid w:val="00A033F2"/>
    <w:rsid w:val="00A212FC"/>
    <w:rsid w:val="00A30275"/>
    <w:rsid w:val="00A34247"/>
    <w:rsid w:val="00A7349F"/>
    <w:rsid w:val="00A81D39"/>
    <w:rsid w:val="00AB56A9"/>
    <w:rsid w:val="00AD1999"/>
    <w:rsid w:val="00AF058A"/>
    <w:rsid w:val="00B042DD"/>
    <w:rsid w:val="00B05CAC"/>
    <w:rsid w:val="00B062A1"/>
    <w:rsid w:val="00B3268D"/>
    <w:rsid w:val="00B417E7"/>
    <w:rsid w:val="00B84F31"/>
    <w:rsid w:val="00BA7C88"/>
    <w:rsid w:val="00BD3517"/>
    <w:rsid w:val="00BF15EE"/>
    <w:rsid w:val="00BF5D7B"/>
    <w:rsid w:val="00C02B27"/>
    <w:rsid w:val="00C16CAB"/>
    <w:rsid w:val="00C17E2A"/>
    <w:rsid w:val="00C43F31"/>
    <w:rsid w:val="00C473E2"/>
    <w:rsid w:val="00C70B4C"/>
    <w:rsid w:val="00C803F3"/>
    <w:rsid w:val="00C95770"/>
    <w:rsid w:val="00CA6602"/>
    <w:rsid w:val="00CC1395"/>
    <w:rsid w:val="00CC34EF"/>
    <w:rsid w:val="00CD11DE"/>
    <w:rsid w:val="00CD175A"/>
    <w:rsid w:val="00D15E04"/>
    <w:rsid w:val="00D2267B"/>
    <w:rsid w:val="00D30576"/>
    <w:rsid w:val="00D32C35"/>
    <w:rsid w:val="00D34DDB"/>
    <w:rsid w:val="00D45B4D"/>
    <w:rsid w:val="00D50FEE"/>
    <w:rsid w:val="00D54DF4"/>
    <w:rsid w:val="00D56C0B"/>
    <w:rsid w:val="00D92561"/>
    <w:rsid w:val="00D96F85"/>
    <w:rsid w:val="00DA6B4E"/>
    <w:rsid w:val="00DA7394"/>
    <w:rsid w:val="00DB5804"/>
    <w:rsid w:val="00DF5BBF"/>
    <w:rsid w:val="00E02E16"/>
    <w:rsid w:val="00E611CF"/>
    <w:rsid w:val="00E6784E"/>
    <w:rsid w:val="00E71B04"/>
    <w:rsid w:val="00E9282E"/>
    <w:rsid w:val="00EC049D"/>
    <w:rsid w:val="00EE3D74"/>
    <w:rsid w:val="00EF638C"/>
    <w:rsid w:val="00F16CBC"/>
    <w:rsid w:val="00F33351"/>
    <w:rsid w:val="00F3457D"/>
    <w:rsid w:val="00F951B4"/>
    <w:rsid w:val="00FB5DB2"/>
    <w:rsid w:val="00FF6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54555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937CE9"/>
    <w:rPr>
      <w:color w:val="0000FF"/>
      <w:u w:val="single"/>
    </w:rPr>
  </w:style>
  <w:style w:type="character" w:styleId="FollowedHyperlink">
    <w:name w:val="FollowedHyperlink"/>
    <w:basedOn w:val="DefaultParagraphFont"/>
    <w:uiPriority w:val="99"/>
    <w:semiHidden/>
    <w:unhideWhenUsed/>
    <w:rsid w:val="008B404B"/>
    <w:rPr>
      <w:color w:val="954F72" w:themeColor="followedHyperlink"/>
      <w:u w:val="single"/>
    </w:rPr>
  </w:style>
  <w:style w:type="paragraph" w:customStyle="1" w:styleId="m2263319008971138380msolistparagraph">
    <w:name w:val="m_2263319008971138380msolistparagraph"/>
    <w:basedOn w:val="Normal"/>
    <w:rsid w:val="008B404B"/>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30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D9"/>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073FFC"/>
    <w:rPr>
      <w:sz w:val="16"/>
      <w:szCs w:val="16"/>
    </w:rPr>
  </w:style>
  <w:style w:type="paragraph" w:styleId="CommentText">
    <w:name w:val="annotation text"/>
    <w:basedOn w:val="Normal"/>
    <w:link w:val="CommentTextChar"/>
    <w:uiPriority w:val="99"/>
    <w:semiHidden/>
    <w:unhideWhenUsed/>
    <w:rsid w:val="00073FFC"/>
    <w:pPr>
      <w:spacing w:line="240" w:lineRule="auto"/>
    </w:pPr>
    <w:rPr>
      <w:sz w:val="20"/>
      <w:szCs w:val="20"/>
    </w:rPr>
  </w:style>
  <w:style w:type="character" w:customStyle="1" w:styleId="CommentTextChar">
    <w:name w:val="Comment Text Char"/>
    <w:basedOn w:val="DefaultParagraphFont"/>
    <w:link w:val="CommentText"/>
    <w:uiPriority w:val="99"/>
    <w:semiHidden/>
    <w:rsid w:val="00073FF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73FFC"/>
    <w:rPr>
      <w:b/>
      <w:bCs/>
    </w:rPr>
  </w:style>
  <w:style w:type="character" w:customStyle="1" w:styleId="CommentSubjectChar">
    <w:name w:val="Comment Subject Char"/>
    <w:basedOn w:val="CommentTextChar"/>
    <w:link w:val="CommentSubject"/>
    <w:uiPriority w:val="99"/>
    <w:semiHidden/>
    <w:rsid w:val="00073FFC"/>
    <w:rPr>
      <w:rFonts w:ascii="Arial" w:eastAsiaTheme="minorHAnsi" w:hAnsi="Arial"/>
      <w:b/>
      <w:bCs/>
      <w:sz w:val="20"/>
      <w:szCs w:val="20"/>
      <w:lang w:eastAsia="en-US"/>
    </w:rPr>
  </w:style>
  <w:style w:type="paragraph" w:styleId="PlainText">
    <w:name w:val="Plain Text"/>
    <w:basedOn w:val="Normal"/>
    <w:link w:val="PlainTextChar"/>
    <w:uiPriority w:val="99"/>
    <w:unhideWhenUsed/>
    <w:rsid w:val="007068AD"/>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rsid w:val="007068AD"/>
    <w:rPr>
      <w:rFonts w:ascii="Arial" w:eastAsia="Times New Roman" w:hAnsi="Arial" w:cs="Consolas"/>
      <w:szCs w:val="21"/>
      <w:lang w:eastAsia="en-US"/>
    </w:rPr>
  </w:style>
  <w:style w:type="paragraph" w:styleId="FootnoteText">
    <w:name w:val="footnote text"/>
    <w:basedOn w:val="Normal"/>
    <w:link w:val="FootnoteTextChar"/>
    <w:uiPriority w:val="99"/>
    <w:semiHidden/>
    <w:unhideWhenUsed/>
    <w:rsid w:val="00230718"/>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30718"/>
    <w:rPr>
      <w:sz w:val="20"/>
      <w:szCs w:val="20"/>
      <w:lang w:eastAsia="en-US"/>
    </w:rPr>
  </w:style>
  <w:style w:type="character" w:styleId="FootnoteReference">
    <w:name w:val="footnote reference"/>
    <w:basedOn w:val="DefaultParagraphFont"/>
    <w:uiPriority w:val="99"/>
    <w:semiHidden/>
    <w:unhideWhenUsed/>
    <w:rsid w:val="00230718"/>
    <w:rPr>
      <w:vertAlign w:val="superscript"/>
    </w:rPr>
  </w:style>
  <w:style w:type="numbering" w:customStyle="1" w:styleId="bull1">
    <w:name w:val="bull 1"/>
    <w:basedOn w:val="NoList"/>
    <w:uiPriority w:val="99"/>
    <w:rsid w:val="00563423"/>
    <w:pPr>
      <w:numPr>
        <w:numId w:val="22"/>
      </w:numPr>
    </w:pPr>
  </w:style>
  <w:style w:type="paragraph" w:customStyle="1" w:styleId="paragraph">
    <w:name w:val="paragraph"/>
    <w:basedOn w:val="Normal"/>
    <w:rsid w:val="00941205"/>
    <w:pPr>
      <w:spacing w:after="0"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98">
      <w:bodyDiv w:val="1"/>
      <w:marLeft w:val="0"/>
      <w:marRight w:val="0"/>
      <w:marTop w:val="0"/>
      <w:marBottom w:val="0"/>
      <w:divBdr>
        <w:top w:val="none" w:sz="0" w:space="0" w:color="auto"/>
        <w:left w:val="none" w:sz="0" w:space="0" w:color="auto"/>
        <w:bottom w:val="none" w:sz="0" w:space="0" w:color="auto"/>
        <w:right w:val="none" w:sz="0" w:space="0" w:color="auto"/>
      </w:divBdr>
    </w:div>
    <w:div w:id="72506102">
      <w:bodyDiv w:val="1"/>
      <w:marLeft w:val="0"/>
      <w:marRight w:val="0"/>
      <w:marTop w:val="0"/>
      <w:marBottom w:val="0"/>
      <w:divBdr>
        <w:top w:val="none" w:sz="0" w:space="0" w:color="auto"/>
        <w:left w:val="none" w:sz="0" w:space="0" w:color="auto"/>
        <w:bottom w:val="none" w:sz="0" w:space="0" w:color="auto"/>
        <w:right w:val="none" w:sz="0" w:space="0" w:color="auto"/>
      </w:divBdr>
    </w:div>
    <w:div w:id="227691778">
      <w:bodyDiv w:val="1"/>
      <w:marLeft w:val="0"/>
      <w:marRight w:val="0"/>
      <w:marTop w:val="0"/>
      <w:marBottom w:val="0"/>
      <w:divBdr>
        <w:top w:val="none" w:sz="0" w:space="0" w:color="auto"/>
        <w:left w:val="none" w:sz="0" w:space="0" w:color="auto"/>
        <w:bottom w:val="none" w:sz="0" w:space="0" w:color="auto"/>
        <w:right w:val="none" w:sz="0" w:space="0" w:color="auto"/>
      </w:divBdr>
    </w:div>
    <w:div w:id="367461720">
      <w:bodyDiv w:val="1"/>
      <w:marLeft w:val="0"/>
      <w:marRight w:val="0"/>
      <w:marTop w:val="0"/>
      <w:marBottom w:val="0"/>
      <w:divBdr>
        <w:top w:val="none" w:sz="0" w:space="0" w:color="auto"/>
        <w:left w:val="none" w:sz="0" w:space="0" w:color="auto"/>
        <w:bottom w:val="none" w:sz="0" w:space="0" w:color="auto"/>
        <w:right w:val="none" w:sz="0" w:space="0" w:color="auto"/>
      </w:divBdr>
    </w:div>
    <w:div w:id="390428451">
      <w:bodyDiv w:val="1"/>
      <w:marLeft w:val="0"/>
      <w:marRight w:val="0"/>
      <w:marTop w:val="0"/>
      <w:marBottom w:val="0"/>
      <w:divBdr>
        <w:top w:val="none" w:sz="0" w:space="0" w:color="auto"/>
        <w:left w:val="none" w:sz="0" w:space="0" w:color="auto"/>
        <w:bottom w:val="none" w:sz="0" w:space="0" w:color="auto"/>
        <w:right w:val="none" w:sz="0" w:space="0" w:color="auto"/>
      </w:divBdr>
    </w:div>
    <w:div w:id="504177240">
      <w:bodyDiv w:val="1"/>
      <w:marLeft w:val="0"/>
      <w:marRight w:val="0"/>
      <w:marTop w:val="0"/>
      <w:marBottom w:val="0"/>
      <w:divBdr>
        <w:top w:val="none" w:sz="0" w:space="0" w:color="auto"/>
        <w:left w:val="none" w:sz="0" w:space="0" w:color="auto"/>
        <w:bottom w:val="none" w:sz="0" w:space="0" w:color="auto"/>
        <w:right w:val="none" w:sz="0" w:space="0" w:color="auto"/>
      </w:divBdr>
    </w:div>
    <w:div w:id="515579547">
      <w:bodyDiv w:val="1"/>
      <w:marLeft w:val="0"/>
      <w:marRight w:val="0"/>
      <w:marTop w:val="0"/>
      <w:marBottom w:val="0"/>
      <w:divBdr>
        <w:top w:val="none" w:sz="0" w:space="0" w:color="auto"/>
        <w:left w:val="none" w:sz="0" w:space="0" w:color="auto"/>
        <w:bottom w:val="none" w:sz="0" w:space="0" w:color="auto"/>
        <w:right w:val="none" w:sz="0" w:space="0" w:color="auto"/>
      </w:divBdr>
    </w:div>
    <w:div w:id="579364165">
      <w:bodyDiv w:val="1"/>
      <w:marLeft w:val="0"/>
      <w:marRight w:val="0"/>
      <w:marTop w:val="0"/>
      <w:marBottom w:val="0"/>
      <w:divBdr>
        <w:top w:val="none" w:sz="0" w:space="0" w:color="auto"/>
        <w:left w:val="none" w:sz="0" w:space="0" w:color="auto"/>
        <w:bottom w:val="none" w:sz="0" w:space="0" w:color="auto"/>
        <w:right w:val="none" w:sz="0" w:space="0" w:color="auto"/>
      </w:divBdr>
    </w:div>
    <w:div w:id="830753065">
      <w:bodyDiv w:val="1"/>
      <w:marLeft w:val="0"/>
      <w:marRight w:val="0"/>
      <w:marTop w:val="0"/>
      <w:marBottom w:val="0"/>
      <w:divBdr>
        <w:top w:val="none" w:sz="0" w:space="0" w:color="auto"/>
        <w:left w:val="none" w:sz="0" w:space="0" w:color="auto"/>
        <w:bottom w:val="none" w:sz="0" w:space="0" w:color="auto"/>
        <w:right w:val="none" w:sz="0" w:space="0" w:color="auto"/>
      </w:divBdr>
    </w:div>
    <w:div w:id="911282780">
      <w:bodyDiv w:val="1"/>
      <w:marLeft w:val="0"/>
      <w:marRight w:val="0"/>
      <w:marTop w:val="0"/>
      <w:marBottom w:val="0"/>
      <w:divBdr>
        <w:top w:val="none" w:sz="0" w:space="0" w:color="auto"/>
        <w:left w:val="none" w:sz="0" w:space="0" w:color="auto"/>
        <w:bottom w:val="none" w:sz="0" w:space="0" w:color="auto"/>
        <w:right w:val="none" w:sz="0" w:space="0" w:color="auto"/>
      </w:divBdr>
    </w:div>
    <w:div w:id="948051845">
      <w:bodyDiv w:val="1"/>
      <w:marLeft w:val="0"/>
      <w:marRight w:val="0"/>
      <w:marTop w:val="0"/>
      <w:marBottom w:val="0"/>
      <w:divBdr>
        <w:top w:val="none" w:sz="0" w:space="0" w:color="auto"/>
        <w:left w:val="none" w:sz="0" w:space="0" w:color="auto"/>
        <w:bottom w:val="none" w:sz="0" w:space="0" w:color="auto"/>
        <w:right w:val="none" w:sz="0" w:space="0" w:color="auto"/>
      </w:divBdr>
    </w:div>
    <w:div w:id="1102073319">
      <w:bodyDiv w:val="1"/>
      <w:marLeft w:val="0"/>
      <w:marRight w:val="0"/>
      <w:marTop w:val="0"/>
      <w:marBottom w:val="0"/>
      <w:divBdr>
        <w:top w:val="none" w:sz="0" w:space="0" w:color="auto"/>
        <w:left w:val="none" w:sz="0" w:space="0" w:color="auto"/>
        <w:bottom w:val="none" w:sz="0" w:space="0" w:color="auto"/>
        <w:right w:val="none" w:sz="0" w:space="0" w:color="auto"/>
      </w:divBdr>
    </w:div>
    <w:div w:id="113286253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0003153">
      <w:bodyDiv w:val="1"/>
      <w:marLeft w:val="0"/>
      <w:marRight w:val="0"/>
      <w:marTop w:val="0"/>
      <w:marBottom w:val="0"/>
      <w:divBdr>
        <w:top w:val="none" w:sz="0" w:space="0" w:color="auto"/>
        <w:left w:val="none" w:sz="0" w:space="0" w:color="auto"/>
        <w:bottom w:val="none" w:sz="0" w:space="0" w:color="auto"/>
        <w:right w:val="none" w:sz="0" w:space="0" w:color="auto"/>
      </w:divBdr>
    </w:div>
    <w:div w:id="1226452823">
      <w:bodyDiv w:val="1"/>
      <w:marLeft w:val="0"/>
      <w:marRight w:val="0"/>
      <w:marTop w:val="0"/>
      <w:marBottom w:val="0"/>
      <w:divBdr>
        <w:top w:val="none" w:sz="0" w:space="0" w:color="auto"/>
        <w:left w:val="none" w:sz="0" w:space="0" w:color="auto"/>
        <w:bottom w:val="none" w:sz="0" w:space="0" w:color="auto"/>
        <w:right w:val="none" w:sz="0" w:space="0" w:color="auto"/>
      </w:divBdr>
    </w:div>
    <w:div w:id="1238907402">
      <w:bodyDiv w:val="1"/>
      <w:marLeft w:val="0"/>
      <w:marRight w:val="0"/>
      <w:marTop w:val="0"/>
      <w:marBottom w:val="0"/>
      <w:divBdr>
        <w:top w:val="none" w:sz="0" w:space="0" w:color="auto"/>
        <w:left w:val="none" w:sz="0" w:space="0" w:color="auto"/>
        <w:bottom w:val="none" w:sz="0" w:space="0" w:color="auto"/>
        <w:right w:val="none" w:sz="0" w:space="0" w:color="auto"/>
      </w:divBdr>
    </w:div>
    <w:div w:id="1420101621">
      <w:bodyDiv w:val="1"/>
      <w:marLeft w:val="0"/>
      <w:marRight w:val="0"/>
      <w:marTop w:val="0"/>
      <w:marBottom w:val="0"/>
      <w:divBdr>
        <w:top w:val="none" w:sz="0" w:space="0" w:color="auto"/>
        <w:left w:val="none" w:sz="0" w:space="0" w:color="auto"/>
        <w:bottom w:val="none" w:sz="0" w:space="0" w:color="auto"/>
        <w:right w:val="none" w:sz="0" w:space="0" w:color="auto"/>
      </w:divBdr>
    </w:div>
    <w:div w:id="1506676322">
      <w:bodyDiv w:val="1"/>
      <w:marLeft w:val="0"/>
      <w:marRight w:val="0"/>
      <w:marTop w:val="0"/>
      <w:marBottom w:val="0"/>
      <w:divBdr>
        <w:top w:val="none" w:sz="0" w:space="0" w:color="auto"/>
        <w:left w:val="none" w:sz="0" w:space="0" w:color="auto"/>
        <w:bottom w:val="none" w:sz="0" w:space="0" w:color="auto"/>
        <w:right w:val="none" w:sz="0" w:space="0" w:color="auto"/>
      </w:divBdr>
    </w:div>
    <w:div w:id="1604922412">
      <w:bodyDiv w:val="1"/>
      <w:marLeft w:val="0"/>
      <w:marRight w:val="0"/>
      <w:marTop w:val="0"/>
      <w:marBottom w:val="0"/>
      <w:divBdr>
        <w:top w:val="none" w:sz="0" w:space="0" w:color="auto"/>
        <w:left w:val="none" w:sz="0" w:space="0" w:color="auto"/>
        <w:bottom w:val="none" w:sz="0" w:space="0" w:color="auto"/>
        <w:right w:val="none" w:sz="0" w:space="0" w:color="auto"/>
      </w:divBdr>
    </w:div>
    <w:div w:id="1666012357">
      <w:bodyDiv w:val="1"/>
      <w:marLeft w:val="0"/>
      <w:marRight w:val="0"/>
      <w:marTop w:val="0"/>
      <w:marBottom w:val="0"/>
      <w:divBdr>
        <w:top w:val="none" w:sz="0" w:space="0" w:color="auto"/>
        <w:left w:val="none" w:sz="0" w:space="0" w:color="auto"/>
        <w:bottom w:val="none" w:sz="0" w:space="0" w:color="auto"/>
        <w:right w:val="none" w:sz="0" w:space="0" w:color="auto"/>
      </w:divBdr>
    </w:div>
    <w:div w:id="1720083793">
      <w:bodyDiv w:val="1"/>
      <w:marLeft w:val="0"/>
      <w:marRight w:val="0"/>
      <w:marTop w:val="0"/>
      <w:marBottom w:val="0"/>
      <w:divBdr>
        <w:top w:val="none" w:sz="0" w:space="0" w:color="auto"/>
        <w:left w:val="none" w:sz="0" w:space="0" w:color="auto"/>
        <w:bottom w:val="none" w:sz="0" w:space="0" w:color="auto"/>
        <w:right w:val="none" w:sz="0" w:space="0" w:color="auto"/>
      </w:divBdr>
    </w:div>
    <w:div w:id="1823934810">
      <w:bodyDiv w:val="1"/>
      <w:marLeft w:val="0"/>
      <w:marRight w:val="0"/>
      <w:marTop w:val="0"/>
      <w:marBottom w:val="0"/>
      <w:divBdr>
        <w:top w:val="none" w:sz="0" w:space="0" w:color="auto"/>
        <w:left w:val="none" w:sz="0" w:space="0" w:color="auto"/>
        <w:bottom w:val="none" w:sz="0" w:space="0" w:color="auto"/>
        <w:right w:val="none" w:sz="0" w:space="0" w:color="auto"/>
      </w:divBdr>
    </w:div>
    <w:div w:id="1905530609">
      <w:bodyDiv w:val="1"/>
      <w:marLeft w:val="0"/>
      <w:marRight w:val="0"/>
      <w:marTop w:val="0"/>
      <w:marBottom w:val="0"/>
      <w:divBdr>
        <w:top w:val="none" w:sz="0" w:space="0" w:color="auto"/>
        <w:left w:val="none" w:sz="0" w:space="0" w:color="auto"/>
        <w:bottom w:val="none" w:sz="0" w:space="0" w:color="auto"/>
        <w:right w:val="none" w:sz="0" w:space="0" w:color="auto"/>
      </w:divBdr>
    </w:div>
    <w:div w:id="19733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responds-launch-new-accessible-homes-coal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uccessful-applicants-lga-housing-advisers-programme-announce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briefing-building-out-extant-planning-permissions-hou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queens-speech-lga-responds-building-safety-b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7476A"/>
    <w:rsid w:val="00120481"/>
    <w:rsid w:val="001C79DF"/>
    <w:rsid w:val="002D45EB"/>
    <w:rsid w:val="002F1F5C"/>
    <w:rsid w:val="00300550"/>
    <w:rsid w:val="004E2C7C"/>
    <w:rsid w:val="008F7FDD"/>
    <w:rsid w:val="00B710F9"/>
    <w:rsid w:val="00B94ADC"/>
    <w:rsid w:val="00C57CA4"/>
    <w:rsid w:val="00D90C76"/>
    <w:rsid w:val="00DD2387"/>
    <w:rsid w:val="00EE0E75"/>
    <w:rsid w:val="00EE1FE1"/>
    <w:rsid w:val="00F63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492A4470E814F83862A4293040F15" ma:contentTypeVersion="5" ma:contentTypeDescription="Create a new document." ma:contentTypeScope="" ma:versionID="219655125799df6064631d7b3e3d888c">
  <xsd:schema xmlns:xsd="http://www.w3.org/2001/XMLSchema" xmlns:xs="http://www.w3.org/2001/XMLSchema" xmlns:p="http://schemas.microsoft.com/office/2006/metadata/properties" xmlns:ns3="efdbe3a9-3b0f-4737-bdd2-a6bf1a9992a1" xmlns:ns4="6c5e2b85-6070-43d9-ae78-8e4dc7df5e72" targetNamespace="http://schemas.microsoft.com/office/2006/metadata/properties" ma:root="true" ma:fieldsID="78240b51e4b833951ed663efb1b4c0a8" ns3:_="" ns4:_="">
    <xsd:import namespace="efdbe3a9-3b0f-4737-bdd2-a6bf1a9992a1"/>
    <xsd:import namespace="6c5e2b85-6070-43d9-ae78-8e4dc7df5e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be3a9-3b0f-4737-bdd2-a6bf1a99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e2b85-6070-43d9-ae78-8e4dc7df5e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efdbe3a9-3b0f-4737-bdd2-a6bf1a9992a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c5e2b85-6070-43d9-ae78-8e4dc7df5e72"/>
    <ds:schemaRef ds:uri="http://purl.org/dc/elements/1.1/"/>
  </ds:schemaRefs>
</ds:datastoreItem>
</file>

<file path=customXml/itemProps3.xml><?xml version="1.0" encoding="utf-8"?>
<ds:datastoreItem xmlns:ds="http://schemas.openxmlformats.org/officeDocument/2006/customXml" ds:itemID="{1F0EF19E-7F23-44FF-9423-90DC7E85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be3a9-3b0f-4737-bdd2-a6bf1a9992a1"/>
    <ds:schemaRef ds:uri="6c5e2b85-6070-43d9-ae78-8e4dc7df5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B51F3-B103-4589-A1CB-AA396361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5566DAA1</Template>
  <TotalTime>40</TotalTime>
  <Pages>5</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16</cp:revision>
  <dcterms:created xsi:type="dcterms:W3CDTF">2019-12-09T11:01:00Z</dcterms:created>
  <dcterms:modified xsi:type="dcterms:W3CDTF">2019-12-11T15:28:00Z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0x01010011E492A4470E814F83862A4293040F15</vt:lpwstr>
  </property>
</Properties>
</file>